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10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654"/>
      </w:tblGrid>
      <w:tr w:rsidR="0076142E" w:rsidRPr="007A296F" w14:paraId="21824D3F" w14:textId="77777777" w:rsidTr="00A93489">
        <w:trPr>
          <w:trHeight w:val="998"/>
          <w:jc w:val="center"/>
        </w:trPr>
        <w:tc>
          <w:tcPr>
            <w:tcW w:w="4683" w:type="dxa"/>
          </w:tcPr>
          <w:p w14:paraId="5FAB9777" w14:textId="77777777" w:rsidR="008521F9" w:rsidRPr="00F60B85" w:rsidRDefault="008521F9" w:rsidP="00A93489">
            <w:pPr>
              <w:spacing w:line="240" w:lineRule="auto"/>
              <w:jc w:val="center"/>
              <w:rPr>
                <w:b/>
                <w:bCs/>
                <w:szCs w:val="26"/>
              </w:rPr>
            </w:pPr>
            <w:bookmarkStart w:id="0" w:name="_Hlk221518483"/>
            <w:bookmarkStart w:id="1" w:name="_Hlk223462527"/>
            <w:r w:rsidRPr="00F60B85">
              <w:rPr>
                <w:b/>
              </w:rPr>
              <w:t>VIETNAM NATIONAL PETROLEUM GROUP</w:t>
            </w:r>
          </w:p>
          <w:p w14:paraId="54DE9A7A" w14:textId="77777777" w:rsidR="008521F9" w:rsidRPr="00F60B85" w:rsidRDefault="008521F9" w:rsidP="00A93489">
            <w:pPr>
              <w:spacing w:line="240" w:lineRule="auto"/>
              <w:jc w:val="center"/>
              <w:rPr>
                <w:b/>
                <w:bCs/>
                <w:szCs w:val="26"/>
              </w:rPr>
            </w:pPr>
            <w:r w:rsidRPr="00F60B85">
              <w:rPr>
                <w:b/>
                <w:noProof/>
              </w:rPr>
              <mc:AlternateContent>
                <mc:Choice Requires="wps">
                  <w:drawing>
                    <wp:anchor distT="0" distB="0" distL="114300" distR="114300" simplePos="0" relativeHeight="251658241" behindDoc="0" locked="0" layoutInCell="1" allowOverlap="1" wp14:anchorId="5416EFA7" wp14:editId="0EF4C9B0">
                      <wp:simplePos x="0" y="0"/>
                      <wp:positionH relativeFrom="column">
                        <wp:posOffset>713105</wp:posOffset>
                      </wp:positionH>
                      <wp:positionV relativeFrom="paragraph">
                        <wp:posOffset>381635</wp:posOffset>
                      </wp:positionV>
                      <wp:extent cx="1417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4173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E613C" id="Straight Connector 7"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30.05pt" to="167.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" strokecolor="windowText" strokeweight="1pt">
                      <v:stroke joinstyle="miter"/>
                    </v:line>
                  </w:pict>
                </mc:Fallback>
              </mc:AlternateContent>
            </w:r>
            <w:r w:rsidRPr="00F60B85">
              <w:rPr>
                <w:b/>
                <w:noProof/>
              </w:rPr>
              <w:drawing>
                <wp:inline distT="0" distB="0" distL="0" distR="0" wp14:anchorId="5FEA2D9E" wp14:editId="35E4E795">
                  <wp:extent cx="1573200" cy="378000"/>
                  <wp:effectExtent l="0" t="0" r="0" b="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rotWithShape="1">
                          <a:blip r:embed="rId12" cstate="print">
                            <a:extLst>
                              <a:ext uri="{28A0092B-C50C-407E-A947-70E740481C1C}">
                                <a14:useLocalDpi xmlns:a14="http://schemas.microsoft.com/office/drawing/2010/main" val="0"/>
                              </a:ext>
                            </a:extLst>
                          </a:blip>
                          <a:srcRect t="14289" b="15655"/>
                          <a:stretch/>
                        </pic:blipFill>
                        <pic:spPr bwMode="auto">
                          <a:xfrm>
                            <a:off x="0" y="0"/>
                            <a:ext cx="1573200" cy="378000"/>
                          </a:xfrm>
                          <a:prstGeom prst="rect">
                            <a:avLst/>
                          </a:prstGeom>
                          <a:ln>
                            <a:noFill/>
                          </a:ln>
                          <a:extLst>
                            <a:ext uri="{53640926-AAD7-44D8-BBD7-CCE9431645EC}">
                              <a14:shadowObscured xmlns:a14="http://schemas.microsoft.com/office/drawing/2010/main"/>
                            </a:ext>
                          </a:extLst>
                        </pic:spPr>
                      </pic:pic>
                    </a:graphicData>
                  </a:graphic>
                </wp:inline>
              </w:drawing>
            </w:r>
          </w:p>
          <w:p w14:paraId="7AD929E3" w14:textId="77777777" w:rsidR="008521F9" w:rsidRPr="007A296F" w:rsidRDefault="008521F9" w:rsidP="00A93489">
            <w:pPr>
              <w:spacing w:line="240" w:lineRule="auto"/>
              <w:jc w:val="center"/>
              <w:rPr>
                <w:b/>
                <w:bCs/>
                <w:szCs w:val="26"/>
              </w:rPr>
            </w:pPr>
          </w:p>
          <w:p w14:paraId="7828D50F" w14:textId="58336A9E" w:rsidR="008521F9" w:rsidRPr="00F60B85" w:rsidRDefault="008521F9" w:rsidP="00A93489">
            <w:pPr>
              <w:spacing w:line="240" w:lineRule="auto"/>
              <w:jc w:val="center"/>
              <w:rPr>
                <w:bCs/>
                <w:szCs w:val="26"/>
              </w:rPr>
            </w:pPr>
          </w:p>
        </w:tc>
        <w:tc>
          <w:tcPr>
            <w:tcW w:w="5654" w:type="dxa"/>
          </w:tcPr>
          <w:p w14:paraId="51829A5B" w14:textId="289F3868" w:rsidR="008521F9" w:rsidRPr="00F60B85" w:rsidRDefault="008521F9" w:rsidP="00A93489">
            <w:pPr>
              <w:spacing w:line="240" w:lineRule="auto"/>
              <w:ind w:right="-112"/>
              <w:jc w:val="center"/>
              <w:rPr>
                <w:b/>
                <w:bCs/>
                <w:szCs w:val="26"/>
              </w:rPr>
            </w:pPr>
            <w:r w:rsidRPr="00F60B85">
              <w:rPr>
                <w:b/>
              </w:rPr>
              <w:t>SOCIALIST REPUBLIC OF VIETNAM</w:t>
            </w:r>
          </w:p>
          <w:p w14:paraId="1A688348" w14:textId="6B0A316F" w:rsidR="008521F9" w:rsidRPr="007A296F" w:rsidRDefault="008521F9" w:rsidP="00A93489">
            <w:pPr>
              <w:spacing w:line="240" w:lineRule="auto"/>
              <w:ind w:right="-112"/>
              <w:jc w:val="center"/>
              <w:rPr>
                <w:b/>
                <w:bCs/>
                <w:szCs w:val="26"/>
              </w:rPr>
            </w:pPr>
            <w:r w:rsidRPr="007A296F">
              <w:rPr>
                <w:b/>
              </w:rPr>
              <w:t>Independence - Freedom – Happiness</w:t>
            </w:r>
          </w:p>
          <w:p w14:paraId="36811C0D" w14:textId="77777777" w:rsidR="008521F9" w:rsidRPr="00F60B85" w:rsidRDefault="008521F9" w:rsidP="00A93489">
            <w:pPr>
              <w:spacing w:line="240" w:lineRule="auto"/>
              <w:ind w:right="-112"/>
              <w:jc w:val="center"/>
              <w:rPr>
                <w:b/>
                <w:bCs/>
                <w:szCs w:val="26"/>
              </w:rPr>
            </w:pPr>
            <w:r w:rsidRPr="00F60B85">
              <w:rPr>
                <w:b/>
                <w:noProof/>
              </w:rPr>
              <mc:AlternateContent>
                <mc:Choice Requires="wps">
                  <w:drawing>
                    <wp:anchor distT="0" distB="0" distL="114300" distR="114300" simplePos="0" relativeHeight="251658240" behindDoc="0" locked="0" layoutInCell="1" allowOverlap="1" wp14:anchorId="29950929" wp14:editId="3720EA0C">
                      <wp:simplePos x="0" y="0"/>
                      <wp:positionH relativeFrom="column">
                        <wp:posOffset>725170</wp:posOffset>
                      </wp:positionH>
                      <wp:positionV relativeFrom="paragraph">
                        <wp:posOffset>162560</wp:posOffset>
                      </wp:positionV>
                      <wp:extent cx="20516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516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7C5727"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2.8pt" to="21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" strokecolor="windowText" strokeweight="1pt">
                      <v:stroke joinstyle="miter"/>
                    </v:line>
                  </w:pict>
                </mc:Fallback>
              </mc:AlternateContent>
            </w:r>
          </w:p>
          <w:p w14:paraId="121DEFB9" w14:textId="5F0B18B3" w:rsidR="008521F9" w:rsidRPr="00F60B85" w:rsidRDefault="008521F9" w:rsidP="00BE6194">
            <w:pPr>
              <w:spacing w:before="120" w:line="240" w:lineRule="auto"/>
              <w:ind w:right="-113"/>
              <w:jc w:val="right"/>
              <w:rPr>
                <w:szCs w:val="26"/>
              </w:rPr>
            </w:pPr>
            <w:r w:rsidRPr="00F60B85">
              <w:rPr>
                <w:i/>
              </w:rPr>
              <w:t>Hanoi, dated......./....../</w:t>
            </w:r>
            <w:r w:rsidRPr="00F60B85">
              <w:rPr>
                <w:b/>
                <w:bCs/>
                <w:i/>
              </w:rPr>
              <w:t>2026</w:t>
            </w:r>
          </w:p>
        </w:tc>
      </w:tr>
    </w:tbl>
    <w:bookmarkEnd w:id="0"/>
    <w:p w14:paraId="7C39CE90" w14:textId="60424D7E" w:rsidR="00493FAE" w:rsidRPr="007A296F" w:rsidRDefault="00493FAE" w:rsidP="00493FAE">
      <w:pPr>
        <w:spacing w:before="240" w:after="0"/>
        <w:jc w:val="right"/>
        <w:rPr>
          <w:b/>
          <w:i/>
          <w:iCs/>
          <w:sz w:val="28"/>
          <w:szCs w:val="28"/>
        </w:rPr>
      </w:pPr>
      <w:r w:rsidRPr="007A296F">
        <w:rPr>
          <w:b/>
          <w:i/>
          <w:sz w:val="28"/>
          <w:highlight w:val="yellow"/>
        </w:rPr>
        <w:t>(Draft)</w:t>
      </w:r>
    </w:p>
    <w:p w14:paraId="76E0719E" w14:textId="77777777" w:rsidR="00756C86" w:rsidRPr="007A296F" w:rsidRDefault="00756C86" w:rsidP="002C1D77">
      <w:pPr>
        <w:spacing w:before="60" w:after="0" w:line="240" w:lineRule="auto"/>
        <w:jc w:val="center"/>
        <w:rPr>
          <w:b/>
          <w:sz w:val="28"/>
          <w:szCs w:val="28"/>
        </w:rPr>
      </w:pPr>
    </w:p>
    <w:p w14:paraId="54AFDA90" w14:textId="6511CC88" w:rsidR="00493FAE" w:rsidRPr="00F60B85" w:rsidRDefault="00493FAE" w:rsidP="00756C86">
      <w:pPr>
        <w:spacing w:before="60" w:after="120" w:line="360" w:lineRule="exact"/>
        <w:jc w:val="center"/>
        <w:rPr>
          <w:b/>
          <w:sz w:val="32"/>
          <w:szCs w:val="32"/>
        </w:rPr>
      </w:pPr>
      <w:r w:rsidRPr="00F60B85">
        <w:rPr>
          <w:b/>
          <w:sz w:val="32"/>
        </w:rPr>
        <w:t xml:space="preserve">REPORT </w:t>
      </w:r>
    </w:p>
    <w:p w14:paraId="6DE48709" w14:textId="77777777" w:rsidR="00200FB6" w:rsidRPr="007A296F" w:rsidRDefault="00493FAE" w:rsidP="00EB66DD">
      <w:pPr>
        <w:spacing w:after="0" w:line="240" w:lineRule="auto"/>
        <w:jc w:val="center"/>
        <w:rPr>
          <w:b/>
          <w:sz w:val="28"/>
          <w:szCs w:val="28"/>
        </w:rPr>
      </w:pPr>
      <w:r w:rsidRPr="007A296F">
        <w:rPr>
          <w:b/>
          <w:sz w:val="28"/>
        </w:rPr>
        <w:t xml:space="preserve">ON THE 2025 OPERATING RESULTS, 2026 ANNUAL PLAN </w:t>
      </w:r>
    </w:p>
    <w:p w14:paraId="3C6F54DC" w14:textId="0F06ABCC" w:rsidR="00493FAE" w:rsidRPr="007A296F" w:rsidRDefault="00493FAE" w:rsidP="00EB66DD">
      <w:pPr>
        <w:spacing w:after="0" w:line="240" w:lineRule="auto"/>
        <w:jc w:val="center"/>
        <w:rPr>
          <w:b/>
          <w:sz w:val="28"/>
          <w:szCs w:val="28"/>
        </w:rPr>
      </w:pPr>
      <w:r w:rsidRPr="007A296F">
        <w:rPr>
          <w:b/>
          <w:sz w:val="28"/>
        </w:rPr>
        <w:t>OF THE BOARD OF MANAGEMENT OF VIETNAM NATIONAL PETROLEUM GROUP</w:t>
      </w:r>
    </w:p>
    <w:p w14:paraId="5FC7AFC3" w14:textId="77777777" w:rsidR="00505981" w:rsidRPr="007A296F" w:rsidRDefault="00505981" w:rsidP="00505981">
      <w:pPr>
        <w:spacing w:before="60" w:after="0" w:line="276" w:lineRule="auto"/>
        <w:jc w:val="center"/>
        <w:rPr>
          <w:b/>
          <w:szCs w:val="26"/>
        </w:rPr>
      </w:pPr>
    </w:p>
    <w:p w14:paraId="6189A1BF" w14:textId="77777777" w:rsidR="00505981" w:rsidRPr="00F60B85" w:rsidRDefault="00505981" w:rsidP="00756C86">
      <w:pPr>
        <w:spacing w:before="60" w:after="60" w:line="360" w:lineRule="exact"/>
        <w:ind w:firstLine="561"/>
        <w:jc w:val="both"/>
        <w:rPr>
          <w:bCs/>
          <w:szCs w:val="26"/>
        </w:rPr>
      </w:pPr>
      <w:r w:rsidRPr="00F60B85">
        <w:t xml:space="preserve">Your excellences, Valued Shareholders and Delegates! </w:t>
      </w:r>
      <w:r w:rsidRPr="00F60B85">
        <w:tab/>
      </w:r>
    </w:p>
    <w:p w14:paraId="19E87881" w14:textId="771081C7" w:rsidR="00493FAE" w:rsidRPr="007A296F" w:rsidRDefault="00505981" w:rsidP="00756C86">
      <w:pPr>
        <w:spacing w:before="60" w:after="60" w:line="360" w:lineRule="exact"/>
        <w:ind w:firstLine="561"/>
        <w:jc w:val="both"/>
        <w:rPr>
          <w:bCs/>
          <w:szCs w:val="26"/>
        </w:rPr>
      </w:pPr>
      <w:r w:rsidRPr="007A296F">
        <w:t>On behalf of the Board of Management (BOM), I would like to present the Report on 2025 Operating Results and 2026 Orientation Plan of Petrolimex BOM as follows:</w:t>
      </w:r>
    </w:p>
    <w:p w14:paraId="31A83B08" w14:textId="5731DC2C" w:rsidR="00505981" w:rsidRPr="007A296F" w:rsidRDefault="00505981" w:rsidP="00756C86">
      <w:pPr>
        <w:spacing w:before="60" w:after="60" w:line="360" w:lineRule="exact"/>
        <w:ind w:firstLine="561"/>
        <w:jc w:val="both"/>
        <w:rPr>
          <w:b/>
          <w:szCs w:val="26"/>
        </w:rPr>
      </w:pPr>
      <w:r w:rsidRPr="007A296F">
        <w:rPr>
          <w:b/>
        </w:rPr>
        <w:t>Overview</w:t>
      </w:r>
    </w:p>
    <w:p w14:paraId="4AB1BAF1" w14:textId="7DB39091" w:rsidR="00E563ED" w:rsidRPr="007A296F" w:rsidRDefault="005C24D2" w:rsidP="008B7B85">
      <w:pPr>
        <w:spacing w:before="60" w:after="60" w:line="360" w:lineRule="exact"/>
        <w:ind w:firstLine="561"/>
        <w:jc w:val="both"/>
        <w:rPr>
          <w:szCs w:val="26"/>
        </w:rPr>
      </w:pPr>
      <w:r w:rsidRPr="007A296F">
        <w:t>In 2025, the world still witness</w:t>
      </w:r>
      <w:r w:rsidR="007345A8" w:rsidRPr="007A296F">
        <w:t>ed</w:t>
      </w:r>
      <w:r w:rsidRPr="007A296F">
        <w:t xml:space="preserve"> volatile, complex and unpredictable variations. Geopolitical competition intensified, supported by armed conflicts persisting in various regions in the world. Escalating trade tensions and tariff policies of major economies slowed global growth and exerted more pressure on inflation. The global oil market was influenced by conflicts in the Middle East, production policies of major oil-exporting countries, and critical changes in the national energy strategies. Meanwhile, the transition toward new and sustainable energy became increasingly pronounced, raising new requirements for petroleum enterprises to respond to the global market changes.</w:t>
      </w:r>
    </w:p>
    <w:p w14:paraId="0790B338" w14:textId="4BF0B5F6" w:rsidR="00D96E36" w:rsidRPr="00F60B85" w:rsidRDefault="00D96E36" w:rsidP="00756C86">
      <w:pPr>
        <w:spacing w:before="60" w:after="60" w:line="360" w:lineRule="exact"/>
        <w:ind w:firstLine="561"/>
        <w:jc w:val="both"/>
        <w:rPr>
          <w:bCs/>
          <w:szCs w:val="26"/>
        </w:rPr>
      </w:pPr>
      <w:r w:rsidRPr="007A296F">
        <w:t xml:space="preserve">Vietnam’s 2025 economy was recorded with powerful growth, with estimated GDP of </w:t>
      </w:r>
      <w:r w:rsidRPr="007A296F">
        <w:rPr>
          <w:b/>
          <w:bCs/>
        </w:rPr>
        <w:t>8.02%</w:t>
      </w:r>
      <w:r w:rsidRPr="007A296F">
        <w:t>. Gross GDP exceeded USD 514 billion, and GDP per capita reached USD 5,026/p.a. This positive performance enhanced significant growth in transportation activities and high fuel demand</w:t>
      </w:r>
      <w:r w:rsidR="006E3415" w:rsidRPr="00F60B85">
        <w:rPr>
          <w:rStyle w:val="FootnoteReference"/>
          <w:bCs/>
          <w:szCs w:val="26"/>
        </w:rPr>
        <w:footnoteReference w:id="1"/>
      </w:r>
      <w:r w:rsidRPr="00F60B85">
        <w:t>.</w:t>
      </w:r>
    </w:p>
    <w:p w14:paraId="502BA760" w14:textId="64B5F5F4" w:rsidR="00A057E7" w:rsidRPr="007A296F" w:rsidRDefault="00A057E7" w:rsidP="00756C86">
      <w:pPr>
        <w:spacing w:before="60" w:after="60" w:line="360" w:lineRule="exact"/>
        <w:ind w:firstLine="561"/>
        <w:jc w:val="both"/>
        <w:rPr>
          <w:bCs/>
          <w:szCs w:val="26"/>
        </w:rPr>
      </w:pPr>
      <w:r w:rsidRPr="007A296F">
        <w:t xml:space="preserve">In such context, the Board of Management of Petrolimex closely monitored market developments and directives from competent authorities, and drastically launched the synchronous solutions to fulfill the targets set by the 2025 Annual </w:t>
      </w:r>
      <w:r w:rsidRPr="007A296F">
        <w:lastRenderedPageBreak/>
        <w:t>General Meeting of Shareholders (AGM), ensuring the national energy security, maintaining adequate petroleum supply, and upholding its leading role as a state-owned enterprise in the domestic petroleum distribution system, nationwide.</w:t>
      </w:r>
    </w:p>
    <w:p w14:paraId="21A3DFF5" w14:textId="5E71543A" w:rsidR="00505981" w:rsidRPr="007A296F" w:rsidRDefault="00505981" w:rsidP="00756C86">
      <w:pPr>
        <w:spacing w:before="60" w:after="60" w:line="360" w:lineRule="exact"/>
        <w:ind w:firstLine="561"/>
        <w:jc w:val="both"/>
        <w:rPr>
          <w:b/>
          <w:szCs w:val="26"/>
        </w:rPr>
      </w:pPr>
      <w:r w:rsidRPr="007A296F">
        <w:rPr>
          <w:b/>
        </w:rPr>
        <w:t>I. OPERATIONS OF THE BOM IN 2025</w:t>
      </w:r>
    </w:p>
    <w:p w14:paraId="26D37BB8" w14:textId="371EFCCC" w:rsidR="00505981" w:rsidRPr="007A296F" w:rsidRDefault="00505981" w:rsidP="00756C86">
      <w:pPr>
        <w:spacing w:before="60" w:after="60" w:line="360" w:lineRule="exact"/>
        <w:ind w:firstLine="561"/>
        <w:jc w:val="both"/>
        <w:rPr>
          <w:b/>
          <w:i/>
          <w:iCs/>
          <w:szCs w:val="26"/>
        </w:rPr>
      </w:pPr>
      <w:r w:rsidRPr="007A296F">
        <w:rPr>
          <w:b/>
        </w:rPr>
        <w:t>1. Board of Management’s operations</w:t>
      </w:r>
    </w:p>
    <w:p w14:paraId="1DF1508F" w14:textId="3DB00571" w:rsidR="006532BE" w:rsidRPr="007A296F" w:rsidRDefault="006532BE" w:rsidP="00756C86">
      <w:pPr>
        <w:spacing w:before="60" w:after="60" w:line="360" w:lineRule="exact"/>
        <w:ind w:firstLine="561"/>
        <w:jc w:val="both"/>
        <w:rPr>
          <w:b/>
          <w:szCs w:val="26"/>
        </w:rPr>
      </w:pPr>
      <w:r w:rsidRPr="007A296F">
        <w:rPr>
          <w:b/>
        </w:rPr>
        <w:t>1.1. Performance results</w:t>
      </w:r>
    </w:p>
    <w:p w14:paraId="7D032F11" w14:textId="5641F544" w:rsidR="003A41D6" w:rsidRPr="007A296F" w:rsidRDefault="003A41D6" w:rsidP="00756C86">
      <w:pPr>
        <w:spacing w:before="60" w:after="60" w:line="360" w:lineRule="exact"/>
        <w:ind w:firstLine="561"/>
        <w:jc w:val="both"/>
        <w:rPr>
          <w:bCs/>
          <w:szCs w:val="26"/>
        </w:rPr>
      </w:pPr>
      <w:r w:rsidRPr="007A296F">
        <w:t xml:space="preserve">In 2025, according to the Law on Enterprises, Petrolimex’s Charter, and BOM’s </w:t>
      </w:r>
      <w:r w:rsidR="00990CD4" w:rsidRPr="007A296F">
        <w:t>Operation Regulation</w:t>
      </w:r>
      <w:r w:rsidRPr="007A296F">
        <w:t>s, the BOM held 09 regular meetings and 02 ad-hoc meetings, conducted 123 written consultations, issuance of 443 Resolutions.</w:t>
      </w:r>
    </w:p>
    <w:p w14:paraId="782ADA3B" w14:textId="45D6A94D" w:rsidR="003A41D6" w:rsidRPr="007A296F" w:rsidRDefault="0046300E" w:rsidP="0046300E">
      <w:pPr>
        <w:spacing w:before="60" w:after="60" w:line="360" w:lineRule="exact"/>
        <w:ind w:firstLine="561"/>
        <w:jc w:val="both"/>
        <w:rPr>
          <w:bCs/>
          <w:szCs w:val="26"/>
        </w:rPr>
      </w:pPr>
      <w:r w:rsidRPr="007A296F">
        <w:t>The BOM focused on addressing the key matters as follows: directing the implementation of the 2025 AGM resolutions; designing and developing the 2025 production and business plan; overseeing organizational and personnel matters; continuing the implementation of the Petrolimex restructuring plan in accordance with regulations of the Government and Ministry of Finance; accelerating merger, consolidation and restructuring initiatives among petroleum subsidiaries, including charter capital adjustments, divestments and reorganization of operating models; directing cooperation with domestic and international partners; studying new business models such as value-added services at petrol stations and solutions in new and renewable energy; overseeing the implementation of investment projects in head offices, petroleum depots, logistics infrastructure, transport facilities and management technology systems across the Group; and approving the brand repositioning strategy and launching a new corporate identity system to facilitate the Group’s long-term development strategy.</w:t>
      </w:r>
    </w:p>
    <w:p w14:paraId="67B7092D" w14:textId="52D697B3" w:rsidR="000835B4" w:rsidRPr="007A296F" w:rsidRDefault="00505981" w:rsidP="00756C86">
      <w:pPr>
        <w:spacing w:before="60" w:after="60" w:line="360" w:lineRule="exact"/>
        <w:ind w:firstLine="561"/>
        <w:jc w:val="both"/>
        <w:rPr>
          <w:b/>
          <w:i/>
          <w:iCs/>
          <w:szCs w:val="26"/>
          <w:highlight w:val="yellow"/>
        </w:rPr>
      </w:pPr>
      <w:r w:rsidRPr="007A296F">
        <w:rPr>
          <w:b/>
        </w:rPr>
        <w:t xml:space="preserve">1.2. </w:t>
      </w:r>
      <w:r w:rsidRPr="007A296F">
        <w:rPr>
          <w:b/>
          <w:bCs/>
        </w:rPr>
        <w:t>Assessment on 2025’s operating performance</w:t>
      </w:r>
    </w:p>
    <w:p w14:paraId="7834EECD" w14:textId="784C4798" w:rsidR="0046300E" w:rsidRPr="007A296F" w:rsidRDefault="0046300E" w:rsidP="00756C86">
      <w:pPr>
        <w:spacing w:before="60" w:after="60" w:line="360" w:lineRule="exact"/>
        <w:ind w:firstLine="561"/>
        <w:jc w:val="both"/>
        <w:rPr>
          <w:bCs/>
          <w:szCs w:val="26"/>
        </w:rPr>
      </w:pPr>
      <w:r w:rsidRPr="007A296F">
        <w:t xml:space="preserve">In 2025, the BOM fully fulfilled its required responsibilities and authority. </w:t>
      </w:r>
      <w:r w:rsidR="007345A8" w:rsidRPr="007A296F">
        <w:t xml:space="preserve">Based-on close adherence to </w:t>
      </w:r>
      <w:r w:rsidRPr="007A296F">
        <w:t>the 2025 AGM Resolutions and close</w:t>
      </w:r>
      <w:r w:rsidR="007345A8" w:rsidRPr="007A296F">
        <w:t xml:space="preserve"> monitoring of developments in the</w:t>
      </w:r>
      <w:r w:rsidRPr="00F60B85">
        <w:t xml:space="preserve"> of domestic and international energy market</w:t>
      </w:r>
      <w:r w:rsidR="007345A8" w:rsidRPr="00F60B85">
        <w:t>s</w:t>
      </w:r>
      <w:r w:rsidRPr="00F60B85">
        <w:t>, the BOM implemented synchronized solutions, overcame challenges, and successfully achieved all assigned business targets approved by the 2025 AGM.</w:t>
      </w:r>
    </w:p>
    <w:p w14:paraId="2A195990" w14:textId="21638F47" w:rsidR="00AA6633" w:rsidRPr="00F60B85" w:rsidRDefault="00AA6633" w:rsidP="00756C86">
      <w:pPr>
        <w:spacing w:before="60" w:after="60" w:line="360" w:lineRule="exact"/>
        <w:ind w:firstLine="561"/>
        <w:jc w:val="both"/>
        <w:rPr>
          <w:bCs/>
          <w:szCs w:val="26"/>
          <w:highlight w:val="yellow"/>
        </w:rPr>
      </w:pPr>
      <w:r w:rsidRPr="007A296F">
        <w:t xml:space="preserve">Generally, in 2025, the BOM </w:t>
      </w:r>
      <w:r w:rsidR="007345A8" w:rsidRPr="007A296F">
        <w:t>successfully performed</w:t>
      </w:r>
      <w:r w:rsidRPr="007A296F">
        <w:t xml:space="preserve"> its leadership and strategic orientation role</w:t>
      </w:r>
      <w:r w:rsidRPr="00F60B85">
        <w:t>, making a significant contribution to the achievement of the Group’s business objectives and creating a reliable foundation for its next phase of development.</w:t>
      </w:r>
    </w:p>
    <w:p w14:paraId="110189A9" w14:textId="0F7FFF9E" w:rsidR="00F35E43" w:rsidRPr="007A296F" w:rsidRDefault="00505981" w:rsidP="00756C86">
      <w:pPr>
        <w:spacing w:before="60" w:after="60" w:line="360" w:lineRule="exact"/>
        <w:ind w:firstLine="561"/>
        <w:jc w:val="both"/>
        <w:rPr>
          <w:b/>
          <w:i/>
          <w:iCs/>
          <w:szCs w:val="26"/>
        </w:rPr>
      </w:pPr>
      <w:r w:rsidRPr="007A296F">
        <w:rPr>
          <w:b/>
        </w:rPr>
        <w:t xml:space="preserve">2. The Group’s operation results </w:t>
      </w:r>
    </w:p>
    <w:p w14:paraId="42B289E2" w14:textId="0C6590E7" w:rsidR="0062562F" w:rsidRPr="007A296F" w:rsidRDefault="000835B4" w:rsidP="00756C86">
      <w:pPr>
        <w:spacing w:before="60" w:after="60" w:line="360" w:lineRule="exact"/>
        <w:ind w:firstLine="561"/>
        <w:jc w:val="both"/>
        <w:rPr>
          <w:b/>
          <w:szCs w:val="26"/>
        </w:rPr>
      </w:pPr>
      <w:r w:rsidRPr="007A296F">
        <w:rPr>
          <w:b/>
        </w:rPr>
        <w:t>2.1. The 2025 production &amp; business results</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9"/>
        <w:gridCol w:w="3510"/>
        <w:gridCol w:w="1343"/>
        <w:gridCol w:w="1990"/>
        <w:gridCol w:w="2022"/>
      </w:tblGrid>
      <w:tr w:rsidR="001069D3" w:rsidRPr="007A296F" w14:paraId="6873CE4F" w14:textId="77777777" w:rsidTr="004519E3">
        <w:trPr>
          <w:trHeight w:val="454"/>
          <w:tblHeader/>
        </w:trPr>
        <w:tc>
          <w:tcPr>
            <w:tcW w:w="305" w:type="pct"/>
            <w:tcMar>
              <w:top w:w="0" w:type="dxa"/>
              <w:left w:w="108" w:type="dxa"/>
              <w:bottom w:w="0" w:type="dxa"/>
              <w:right w:w="108" w:type="dxa"/>
            </w:tcMar>
            <w:vAlign w:val="center"/>
            <w:hideMark/>
          </w:tcPr>
          <w:p w14:paraId="2F2AC0AF" w14:textId="77777777" w:rsidR="001069D3" w:rsidRPr="007A296F" w:rsidRDefault="001069D3" w:rsidP="005224D3">
            <w:pPr>
              <w:spacing w:after="0" w:line="320" w:lineRule="exact"/>
              <w:jc w:val="center"/>
              <w:rPr>
                <w:b/>
                <w:bCs/>
                <w:szCs w:val="26"/>
              </w:rPr>
            </w:pPr>
            <w:r w:rsidRPr="007A296F">
              <w:rPr>
                <w:b/>
              </w:rPr>
              <w:t>No.</w:t>
            </w:r>
          </w:p>
        </w:tc>
        <w:tc>
          <w:tcPr>
            <w:tcW w:w="1946" w:type="pct"/>
            <w:tcMar>
              <w:top w:w="0" w:type="dxa"/>
              <w:left w:w="108" w:type="dxa"/>
              <w:bottom w:w="0" w:type="dxa"/>
              <w:right w:w="108" w:type="dxa"/>
            </w:tcMar>
            <w:vAlign w:val="center"/>
            <w:hideMark/>
          </w:tcPr>
          <w:p w14:paraId="162EC15C" w14:textId="77777777" w:rsidR="001069D3" w:rsidRPr="007A296F" w:rsidRDefault="001069D3" w:rsidP="005224D3">
            <w:pPr>
              <w:spacing w:after="0" w:line="320" w:lineRule="exact"/>
              <w:jc w:val="center"/>
              <w:rPr>
                <w:b/>
                <w:bCs/>
                <w:szCs w:val="26"/>
              </w:rPr>
            </w:pPr>
            <w:r w:rsidRPr="007A296F">
              <w:rPr>
                <w:b/>
              </w:rPr>
              <w:t>Items</w:t>
            </w:r>
          </w:p>
        </w:tc>
        <w:tc>
          <w:tcPr>
            <w:tcW w:w="801" w:type="pct"/>
            <w:tcMar>
              <w:top w:w="0" w:type="dxa"/>
              <w:left w:w="108" w:type="dxa"/>
              <w:bottom w:w="0" w:type="dxa"/>
              <w:right w:w="108" w:type="dxa"/>
            </w:tcMar>
            <w:vAlign w:val="center"/>
            <w:hideMark/>
          </w:tcPr>
          <w:p w14:paraId="1ABC9A5A" w14:textId="77777777" w:rsidR="001069D3" w:rsidRPr="007A296F" w:rsidRDefault="001069D3" w:rsidP="005224D3">
            <w:pPr>
              <w:spacing w:after="0" w:line="320" w:lineRule="exact"/>
              <w:jc w:val="center"/>
              <w:rPr>
                <w:b/>
                <w:bCs/>
                <w:szCs w:val="26"/>
              </w:rPr>
            </w:pPr>
            <w:r w:rsidRPr="007A296F">
              <w:rPr>
                <w:b/>
              </w:rPr>
              <w:t>2025 plan</w:t>
            </w:r>
          </w:p>
        </w:tc>
        <w:tc>
          <w:tcPr>
            <w:tcW w:w="1143" w:type="pct"/>
            <w:tcMar>
              <w:top w:w="0" w:type="dxa"/>
              <w:left w:w="108" w:type="dxa"/>
              <w:bottom w:w="0" w:type="dxa"/>
              <w:right w:w="108" w:type="dxa"/>
            </w:tcMar>
            <w:vAlign w:val="center"/>
            <w:hideMark/>
          </w:tcPr>
          <w:p w14:paraId="507A1D73" w14:textId="77777777" w:rsidR="001069D3" w:rsidRPr="007A296F" w:rsidRDefault="001069D3" w:rsidP="005224D3">
            <w:pPr>
              <w:spacing w:after="0" w:line="320" w:lineRule="exact"/>
              <w:jc w:val="center"/>
              <w:rPr>
                <w:b/>
                <w:bCs/>
                <w:szCs w:val="26"/>
              </w:rPr>
            </w:pPr>
            <w:r w:rsidRPr="007A296F">
              <w:rPr>
                <w:b/>
              </w:rPr>
              <w:t>2025 fulfillment</w:t>
            </w:r>
          </w:p>
        </w:tc>
        <w:tc>
          <w:tcPr>
            <w:tcW w:w="805" w:type="pct"/>
            <w:tcMar>
              <w:top w:w="0" w:type="dxa"/>
              <w:left w:w="108" w:type="dxa"/>
              <w:bottom w:w="0" w:type="dxa"/>
              <w:right w:w="108" w:type="dxa"/>
            </w:tcMar>
            <w:vAlign w:val="center"/>
            <w:hideMark/>
          </w:tcPr>
          <w:p w14:paraId="77C8ABCD" w14:textId="77777777" w:rsidR="001069D3" w:rsidRPr="007A296F" w:rsidRDefault="001069D3" w:rsidP="005224D3">
            <w:pPr>
              <w:spacing w:after="0" w:line="320" w:lineRule="exact"/>
              <w:jc w:val="center"/>
              <w:rPr>
                <w:b/>
                <w:bCs/>
                <w:szCs w:val="26"/>
              </w:rPr>
            </w:pPr>
            <w:r w:rsidRPr="007A296F">
              <w:rPr>
                <w:b/>
              </w:rPr>
              <w:t>Fulfillment/plan comparison (%)</w:t>
            </w:r>
          </w:p>
        </w:tc>
      </w:tr>
      <w:tr w:rsidR="001069D3" w:rsidRPr="007A296F" w14:paraId="5EEB661C" w14:textId="77777777" w:rsidTr="004519E3">
        <w:trPr>
          <w:trHeight w:val="454"/>
        </w:trPr>
        <w:tc>
          <w:tcPr>
            <w:tcW w:w="305" w:type="pct"/>
            <w:tcMar>
              <w:top w:w="0" w:type="dxa"/>
              <w:left w:w="108" w:type="dxa"/>
              <w:bottom w:w="0" w:type="dxa"/>
              <w:right w:w="108" w:type="dxa"/>
            </w:tcMar>
            <w:vAlign w:val="center"/>
            <w:hideMark/>
          </w:tcPr>
          <w:p w14:paraId="3DBE89D6" w14:textId="77777777" w:rsidR="001069D3" w:rsidRPr="007A296F" w:rsidRDefault="001069D3" w:rsidP="005224D3">
            <w:pPr>
              <w:spacing w:after="0" w:line="320" w:lineRule="exact"/>
              <w:jc w:val="center"/>
              <w:rPr>
                <w:b/>
                <w:bCs/>
                <w:szCs w:val="26"/>
              </w:rPr>
            </w:pPr>
            <w:r w:rsidRPr="007A296F">
              <w:rPr>
                <w:b/>
              </w:rPr>
              <w:lastRenderedPageBreak/>
              <w:t>1</w:t>
            </w:r>
          </w:p>
        </w:tc>
        <w:tc>
          <w:tcPr>
            <w:tcW w:w="1946" w:type="pct"/>
            <w:tcMar>
              <w:top w:w="0" w:type="dxa"/>
              <w:left w:w="108" w:type="dxa"/>
              <w:bottom w:w="0" w:type="dxa"/>
              <w:right w:w="108" w:type="dxa"/>
            </w:tcMar>
            <w:vAlign w:val="center"/>
            <w:hideMark/>
          </w:tcPr>
          <w:p w14:paraId="51BAA81D" w14:textId="77777777" w:rsidR="001069D3" w:rsidRPr="007A296F" w:rsidRDefault="001069D3" w:rsidP="005224D3">
            <w:pPr>
              <w:spacing w:after="0" w:line="320" w:lineRule="exact"/>
              <w:rPr>
                <w:b/>
                <w:bCs/>
                <w:szCs w:val="26"/>
              </w:rPr>
            </w:pPr>
            <w:r w:rsidRPr="007A296F">
              <w:rPr>
                <w:b/>
              </w:rPr>
              <w:t>Petroleum sales volume of entire Group (</w:t>
            </w:r>
            <w:r w:rsidRPr="007A296F">
              <w:rPr>
                <w:b/>
                <w:i/>
              </w:rPr>
              <w:t>m</w:t>
            </w:r>
            <w:r w:rsidRPr="007A296F">
              <w:rPr>
                <w:b/>
                <w:i/>
                <w:vertAlign w:val="superscript"/>
              </w:rPr>
              <w:t>3</w:t>
            </w:r>
            <w:r w:rsidRPr="007A296F">
              <w:rPr>
                <w:b/>
                <w:i/>
              </w:rPr>
              <w:t>, ton</w:t>
            </w:r>
            <w:r w:rsidRPr="007A296F">
              <w:rPr>
                <w:b/>
              </w:rPr>
              <w:t>)</w:t>
            </w:r>
          </w:p>
        </w:tc>
        <w:tc>
          <w:tcPr>
            <w:tcW w:w="801" w:type="pct"/>
            <w:tcMar>
              <w:top w:w="0" w:type="dxa"/>
              <w:left w:w="108" w:type="dxa"/>
              <w:bottom w:w="0" w:type="dxa"/>
              <w:right w:w="108" w:type="dxa"/>
            </w:tcMar>
            <w:vAlign w:val="center"/>
          </w:tcPr>
          <w:p w14:paraId="00D0446B" w14:textId="77777777" w:rsidR="001069D3" w:rsidRPr="007A296F" w:rsidRDefault="001069D3" w:rsidP="005224D3">
            <w:pPr>
              <w:spacing w:after="0" w:line="320" w:lineRule="exact"/>
              <w:jc w:val="right"/>
              <w:rPr>
                <w:sz w:val="22"/>
              </w:rPr>
            </w:pPr>
            <w:r w:rsidRPr="007A296F">
              <w:rPr>
                <w:sz w:val="22"/>
              </w:rPr>
              <w:t xml:space="preserve">  17,325,000 </w:t>
            </w:r>
          </w:p>
        </w:tc>
        <w:tc>
          <w:tcPr>
            <w:tcW w:w="1143" w:type="pct"/>
            <w:tcMar>
              <w:top w:w="0" w:type="dxa"/>
              <w:left w:w="108" w:type="dxa"/>
              <w:bottom w:w="0" w:type="dxa"/>
              <w:right w:w="108" w:type="dxa"/>
            </w:tcMar>
            <w:vAlign w:val="center"/>
          </w:tcPr>
          <w:p w14:paraId="50DD7537" w14:textId="77777777" w:rsidR="001069D3" w:rsidRPr="007A296F" w:rsidRDefault="001069D3" w:rsidP="005224D3">
            <w:pPr>
              <w:spacing w:after="0" w:line="320" w:lineRule="exact"/>
              <w:jc w:val="right"/>
              <w:rPr>
                <w:sz w:val="22"/>
              </w:rPr>
            </w:pPr>
            <w:r w:rsidRPr="007A296F">
              <w:rPr>
                <w:sz w:val="22"/>
              </w:rPr>
              <w:t xml:space="preserve">  17,675,000 </w:t>
            </w:r>
          </w:p>
        </w:tc>
        <w:tc>
          <w:tcPr>
            <w:tcW w:w="805" w:type="pct"/>
            <w:tcMar>
              <w:top w:w="0" w:type="dxa"/>
              <w:left w:w="108" w:type="dxa"/>
              <w:bottom w:w="0" w:type="dxa"/>
              <w:right w:w="108" w:type="dxa"/>
            </w:tcMar>
            <w:vAlign w:val="center"/>
          </w:tcPr>
          <w:p w14:paraId="5AE6AF99" w14:textId="77777777" w:rsidR="001069D3" w:rsidRPr="007A296F" w:rsidRDefault="001069D3" w:rsidP="005224D3">
            <w:pPr>
              <w:spacing w:after="0" w:line="320" w:lineRule="exact"/>
              <w:jc w:val="right"/>
              <w:rPr>
                <w:sz w:val="22"/>
              </w:rPr>
            </w:pPr>
            <w:r w:rsidRPr="007A296F">
              <w:rPr>
                <w:color w:val="000000"/>
                <w:sz w:val="22"/>
              </w:rPr>
              <w:t>102.0%</w:t>
            </w:r>
          </w:p>
        </w:tc>
      </w:tr>
      <w:tr w:rsidR="001069D3" w:rsidRPr="007A296F" w14:paraId="3507B50A" w14:textId="77777777" w:rsidTr="004519E3">
        <w:trPr>
          <w:trHeight w:val="454"/>
        </w:trPr>
        <w:tc>
          <w:tcPr>
            <w:tcW w:w="305" w:type="pct"/>
            <w:tcMar>
              <w:top w:w="0" w:type="dxa"/>
              <w:left w:w="108" w:type="dxa"/>
              <w:bottom w:w="0" w:type="dxa"/>
              <w:right w:w="108" w:type="dxa"/>
            </w:tcMar>
            <w:vAlign w:val="center"/>
          </w:tcPr>
          <w:p w14:paraId="07B91EBC" w14:textId="77777777" w:rsidR="001069D3" w:rsidRPr="007A296F" w:rsidRDefault="001069D3" w:rsidP="005224D3">
            <w:pPr>
              <w:spacing w:after="0" w:line="320" w:lineRule="exact"/>
              <w:jc w:val="center"/>
              <w:rPr>
                <w:b/>
                <w:bCs/>
                <w:szCs w:val="26"/>
              </w:rPr>
            </w:pPr>
          </w:p>
        </w:tc>
        <w:tc>
          <w:tcPr>
            <w:tcW w:w="1946" w:type="pct"/>
            <w:tcMar>
              <w:top w:w="0" w:type="dxa"/>
              <w:left w:w="108" w:type="dxa"/>
              <w:bottom w:w="0" w:type="dxa"/>
              <w:right w:w="108" w:type="dxa"/>
            </w:tcMar>
            <w:vAlign w:val="center"/>
          </w:tcPr>
          <w:p w14:paraId="63DCCE9D" w14:textId="77777777" w:rsidR="001069D3" w:rsidRPr="007A296F" w:rsidRDefault="001069D3" w:rsidP="005224D3">
            <w:pPr>
              <w:spacing w:after="0" w:line="320" w:lineRule="exact"/>
              <w:rPr>
                <w:bCs/>
                <w:i/>
                <w:szCs w:val="26"/>
              </w:rPr>
            </w:pPr>
            <w:r w:rsidRPr="007A296F">
              <w:rPr>
                <w:i/>
              </w:rPr>
              <w:t>In which: Parent Company</w:t>
            </w:r>
          </w:p>
        </w:tc>
        <w:tc>
          <w:tcPr>
            <w:tcW w:w="801" w:type="pct"/>
            <w:tcMar>
              <w:top w:w="0" w:type="dxa"/>
              <w:left w:w="108" w:type="dxa"/>
              <w:bottom w:w="0" w:type="dxa"/>
              <w:right w:w="108" w:type="dxa"/>
            </w:tcMar>
            <w:vAlign w:val="center"/>
          </w:tcPr>
          <w:p w14:paraId="28EF3F58" w14:textId="77777777" w:rsidR="001069D3" w:rsidRPr="007A296F" w:rsidRDefault="001069D3" w:rsidP="005224D3">
            <w:pPr>
              <w:spacing w:after="0" w:line="320" w:lineRule="exact"/>
              <w:jc w:val="right"/>
              <w:rPr>
                <w:sz w:val="22"/>
              </w:rPr>
            </w:pPr>
            <w:r w:rsidRPr="007A296F">
              <w:rPr>
                <w:color w:val="000000"/>
                <w:sz w:val="22"/>
              </w:rPr>
              <w:t xml:space="preserve">  11,868,000 </w:t>
            </w:r>
          </w:p>
        </w:tc>
        <w:tc>
          <w:tcPr>
            <w:tcW w:w="1143" w:type="pct"/>
            <w:tcMar>
              <w:top w:w="0" w:type="dxa"/>
              <w:left w:w="108" w:type="dxa"/>
              <w:bottom w:w="0" w:type="dxa"/>
              <w:right w:w="108" w:type="dxa"/>
            </w:tcMar>
            <w:vAlign w:val="center"/>
          </w:tcPr>
          <w:p w14:paraId="7D5DD26E" w14:textId="77777777" w:rsidR="001069D3" w:rsidRPr="007A296F" w:rsidRDefault="001069D3" w:rsidP="005224D3">
            <w:pPr>
              <w:spacing w:after="0" w:line="320" w:lineRule="exact"/>
              <w:jc w:val="right"/>
              <w:rPr>
                <w:sz w:val="22"/>
              </w:rPr>
            </w:pPr>
            <w:r w:rsidRPr="007A296F">
              <w:rPr>
                <w:color w:val="000000"/>
                <w:sz w:val="22"/>
              </w:rPr>
              <w:t xml:space="preserve">  11,913,058 </w:t>
            </w:r>
          </w:p>
        </w:tc>
        <w:tc>
          <w:tcPr>
            <w:tcW w:w="805" w:type="pct"/>
            <w:tcMar>
              <w:top w:w="0" w:type="dxa"/>
              <w:left w:w="108" w:type="dxa"/>
              <w:bottom w:w="0" w:type="dxa"/>
              <w:right w:w="108" w:type="dxa"/>
            </w:tcMar>
            <w:vAlign w:val="center"/>
          </w:tcPr>
          <w:p w14:paraId="135EC066" w14:textId="77777777" w:rsidR="001069D3" w:rsidRPr="007A296F" w:rsidRDefault="001069D3" w:rsidP="005224D3">
            <w:pPr>
              <w:spacing w:after="0" w:line="320" w:lineRule="exact"/>
              <w:jc w:val="right"/>
              <w:rPr>
                <w:sz w:val="22"/>
              </w:rPr>
            </w:pPr>
            <w:r w:rsidRPr="007A296F">
              <w:rPr>
                <w:color w:val="000000"/>
                <w:sz w:val="22"/>
              </w:rPr>
              <w:t>100.4%</w:t>
            </w:r>
          </w:p>
        </w:tc>
      </w:tr>
      <w:tr w:rsidR="001069D3" w:rsidRPr="007A296F" w14:paraId="50A11040" w14:textId="77777777" w:rsidTr="004519E3">
        <w:trPr>
          <w:trHeight w:val="454"/>
        </w:trPr>
        <w:tc>
          <w:tcPr>
            <w:tcW w:w="305" w:type="pct"/>
            <w:tcMar>
              <w:top w:w="0" w:type="dxa"/>
              <w:left w:w="108" w:type="dxa"/>
              <w:bottom w:w="0" w:type="dxa"/>
              <w:right w:w="108" w:type="dxa"/>
            </w:tcMar>
            <w:vAlign w:val="center"/>
            <w:hideMark/>
          </w:tcPr>
          <w:p w14:paraId="03B90C04" w14:textId="77777777" w:rsidR="001069D3" w:rsidRPr="007A296F" w:rsidRDefault="001069D3" w:rsidP="005224D3">
            <w:pPr>
              <w:spacing w:after="0" w:line="320" w:lineRule="exact"/>
              <w:jc w:val="center"/>
              <w:rPr>
                <w:b/>
                <w:bCs/>
                <w:szCs w:val="26"/>
              </w:rPr>
            </w:pPr>
            <w:r w:rsidRPr="007A296F">
              <w:rPr>
                <w:b/>
              </w:rPr>
              <w:t>2</w:t>
            </w:r>
          </w:p>
          <w:p w14:paraId="6D0E9E96" w14:textId="77777777" w:rsidR="001069D3" w:rsidRPr="007A296F" w:rsidRDefault="001069D3" w:rsidP="005224D3">
            <w:pPr>
              <w:spacing w:after="0" w:line="320" w:lineRule="exact"/>
              <w:jc w:val="center"/>
              <w:rPr>
                <w:b/>
                <w:bCs/>
                <w:szCs w:val="26"/>
              </w:rPr>
            </w:pPr>
          </w:p>
        </w:tc>
        <w:tc>
          <w:tcPr>
            <w:tcW w:w="1946" w:type="pct"/>
            <w:tcMar>
              <w:top w:w="0" w:type="dxa"/>
              <w:left w:w="108" w:type="dxa"/>
              <w:bottom w:w="0" w:type="dxa"/>
              <w:right w:w="108" w:type="dxa"/>
            </w:tcMar>
            <w:vAlign w:val="center"/>
            <w:hideMark/>
          </w:tcPr>
          <w:p w14:paraId="64E6D5FA" w14:textId="77777777" w:rsidR="001069D3" w:rsidRPr="007A296F" w:rsidRDefault="001069D3" w:rsidP="005224D3">
            <w:pPr>
              <w:spacing w:after="0" w:line="320" w:lineRule="exact"/>
              <w:rPr>
                <w:b/>
                <w:bCs/>
                <w:szCs w:val="26"/>
              </w:rPr>
            </w:pPr>
            <w:r w:rsidRPr="007A296F">
              <w:rPr>
                <w:b/>
              </w:rPr>
              <w:t>Consolidated revenue of entire Group (</w:t>
            </w:r>
            <w:r w:rsidRPr="007A296F">
              <w:rPr>
                <w:b/>
                <w:i/>
              </w:rPr>
              <w:t>VND bill.</w:t>
            </w:r>
            <w:r w:rsidRPr="007A296F">
              <w:rPr>
                <w:b/>
              </w:rPr>
              <w:t xml:space="preserve">) </w:t>
            </w:r>
          </w:p>
        </w:tc>
        <w:tc>
          <w:tcPr>
            <w:tcW w:w="801" w:type="pct"/>
            <w:tcMar>
              <w:top w:w="0" w:type="dxa"/>
              <w:left w:w="108" w:type="dxa"/>
              <w:bottom w:w="0" w:type="dxa"/>
              <w:right w:w="108" w:type="dxa"/>
            </w:tcMar>
            <w:vAlign w:val="center"/>
          </w:tcPr>
          <w:p w14:paraId="06ABD0D5" w14:textId="77777777" w:rsidR="001069D3" w:rsidRPr="007A296F" w:rsidRDefault="001069D3" w:rsidP="005224D3">
            <w:pPr>
              <w:spacing w:after="0" w:line="320" w:lineRule="exact"/>
              <w:jc w:val="right"/>
              <w:rPr>
                <w:bCs/>
                <w:szCs w:val="26"/>
              </w:rPr>
            </w:pPr>
            <w:r w:rsidRPr="007A296F">
              <w:rPr>
                <w:color w:val="000000"/>
              </w:rPr>
              <w:t>248,000</w:t>
            </w:r>
          </w:p>
        </w:tc>
        <w:tc>
          <w:tcPr>
            <w:tcW w:w="1143" w:type="pct"/>
            <w:tcMar>
              <w:top w:w="0" w:type="dxa"/>
              <w:left w:w="108" w:type="dxa"/>
              <w:bottom w:w="0" w:type="dxa"/>
              <w:right w:w="108" w:type="dxa"/>
            </w:tcMar>
            <w:vAlign w:val="center"/>
          </w:tcPr>
          <w:p w14:paraId="08773C45" w14:textId="77777777" w:rsidR="001069D3" w:rsidRPr="007A296F" w:rsidRDefault="001069D3" w:rsidP="005224D3">
            <w:pPr>
              <w:spacing w:after="0" w:line="320" w:lineRule="exact"/>
              <w:jc w:val="right"/>
              <w:rPr>
                <w:szCs w:val="26"/>
              </w:rPr>
            </w:pPr>
            <w:r w:rsidRPr="007A296F">
              <w:rPr>
                <w:color w:val="000000"/>
              </w:rPr>
              <w:t>309,924</w:t>
            </w:r>
          </w:p>
        </w:tc>
        <w:tc>
          <w:tcPr>
            <w:tcW w:w="805" w:type="pct"/>
            <w:tcMar>
              <w:top w:w="0" w:type="dxa"/>
              <w:left w:w="108" w:type="dxa"/>
              <w:bottom w:w="0" w:type="dxa"/>
              <w:right w:w="108" w:type="dxa"/>
            </w:tcMar>
            <w:vAlign w:val="center"/>
          </w:tcPr>
          <w:p w14:paraId="614FE214" w14:textId="77777777" w:rsidR="001069D3" w:rsidRPr="007A296F" w:rsidRDefault="001069D3" w:rsidP="005224D3">
            <w:pPr>
              <w:spacing w:after="0" w:line="320" w:lineRule="exact"/>
              <w:jc w:val="right"/>
              <w:rPr>
                <w:szCs w:val="26"/>
              </w:rPr>
            </w:pPr>
            <w:r w:rsidRPr="007A296F">
              <w:rPr>
                <w:color w:val="000000"/>
              </w:rPr>
              <w:t>125%</w:t>
            </w:r>
          </w:p>
        </w:tc>
      </w:tr>
      <w:tr w:rsidR="001069D3" w:rsidRPr="007A296F" w14:paraId="16E61BDC" w14:textId="77777777" w:rsidTr="004519E3">
        <w:trPr>
          <w:trHeight w:val="454"/>
        </w:trPr>
        <w:tc>
          <w:tcPr>
            <w:tcW w:w="305" w:type="pct"/>
            <w:tcMar>
              <w:top w:w="0" w:type="dxa"/>
              <w:left w:w="108" w:type="dxa"/>
              <w:bottom w:w="0" w:type="dxa"/>
              <w:right w:w="108" w:type="dxa"/>
            </w:tcMar>
            <w:vAlign w:val="center"/>
            <w:hideMark/>
          </w:tcPr>
          <w:p w14:paraId="4DF9522C" w14:textId="77777777" w:rsidR="001069D3" w:rsidRPr="007A296F" w:rsidRDefault="001069D3" w:rsidP="005224D3">
            <w:pPr>
              <w:spacing w:after="0" w:line="320" w:lineRule="exact"/>
              <w:jc w:val="center"/>
              <w:rPr>
                <w:szCs w:val="26"/>
              </w:rPr>
            </w:pPr>
          </w:p>
        </w:tc>
        <w:tc>
          <w:tcPr>
            <w:tcW w:w="1946" w:type="pct"/>
            <w:tcMar>
              <w:top w:w="0" w:type="dxa"/>
              <w:left w:w="108" w:type="dxa"/>
              <w:bottom w:w="0" w:type="dxa"/>
              <w:right w:w="108" w:type="dxa"/>
            </w:tcMar>
            <w:vAlign w:val="center"/>
            <w:hideMark/>
          </w:tcPr>
          <w:p w14:paraId="70D2438A" w14:textId="77777777" w:rsidR="001069D3" w:rsidRPr="007A296F" w:rsidRDefault="001069D3" w:rsidP="005224D3">
            <w:pPr>
              <w:spacing w:after="0" w:line="320" w:lineRule="exact"/>
              <w:rPr>
                <w:i/>
                <w:iCs/>
                <w:szCs w:val="26"/>
              </w:rPr>
            </w:pPr>
            <w:r w:rsidRPr="007A296F">
              <w:rPr>
                <w:i/>
              </w:rPr>
              <w:t>In which: Parent Company</w:t>
            </w:r>
          </w:p>
        </w:tc>
        <w:tc>
          <w:tcPr>
            <w:tcW w:w="801" w:type="pct"/>
            <w:tcMar>
              <w:top w:w="0" w:type="dxa"/>
              <w:left w:w="108" w:type="dxa"/>
              <w:bottom w:w="0" w:type="dxa"/>
              <w:right w:w="108" w:type="dxa"/>
            </w:tcMar>
            <w:vAlign w:val="center"/>
          </w:tcPr>
          <w:p w14:paraId="4D75F201" w14:textId="77777777" w:rsidR="001069D3" w:rsidRPr="007A296F" w:rsidRDefault="001069D3" w:rsidP="005224D3">
            <w:pPr>
              <w:spacing w:after="0" w:line="320" w:lineRule="exact"/>
              <w:jc w:val="right"/>
              <w:rPr>
                <w:bCs/>
                <w:szCs w:val="26"/>
              </w:rPr>
            </w:pPr>
            <w:r w:rsidRPr="007A296F">
              <w:rPr>
                <w:color w:val="000000"/>
              </w:rPr>
              <w:t>148,000</w:t>
            </w:r>
          </w:p>
        </w:tc>
        <w:tc>
          <w:tcPr>
            <w:tcW w:w="1143" w:type="pct"/>
            <w:tcMar>
              <w:top w:w="0" w:type="dxa"/>
              <w:left w:w="108" w:type="dxa"/>
              <w:bottom w:w="0" w:type="dxa"/>
              <w:right w:w="108" w:type="dxa"/>
            </w:tcMar>
            <w:vAlign w:val="center"/>
          </w:tcPr>
          <w:p w14:paraId="40D1E75B" w14:textId="77777777" w:rsidR="001069D3" w:rsidRPr="007A296F" w:rsidRDefault="001069D3" w:rsidP="005224D3">
            <w:pPr>
              <w:spacing w:after="0" w:line="320" w:lineRule="exact"/>
              <w:jc w:val="right"/>
              <w:rPr>
                <w:szCs w:val="26"/>
              </w:rPr>
            </w:pPr>
            <w:r w:rsidRPr="007A296F">
              <w:rPr>
                <w:color w:val="000000"/>
              </w:rPr>
              <w:t>182,803</w:t>
            </w:r>
          </w:p>
        </w:tc>
        <w:tc>
          <w:tcPr>
            <w:tcW w:w="805" w:type="pct"/>
            <w:tcMar>
              <w:top w:w="0" w:type="dxa"/>
              <w:left w:w="108" w:type="dxa"/>
              <w:bottom w:w="0" w:type="dxa"/>
              <w:right w:w="108" w:type="dxa"/>
            </w:tcMar>
            <w:vAlign w:val="center"/>
          </w:tcPr>
          <w:p w14:paraId="4FA5637A" w14:textId="77777777" w:rsidR="001069D3" w:rsidRPr="007A296F" w:rsidRDefault="001069D3" w:rsidP="005224D3">
            <w:pPr>
              <w:spacing w:after="0" w:line="320" w:lineRule="exact"/>
              <w:jc w:val="right"/>
              <w:rPr>
                <w:szCs w:val="26"/>
              </w:rPr>
            </w:pPr>
            <w:r w:rsidRPr="007A296F">
              <w:rPr>
                <w:color w:val="000000"/>
              </w:rPr>
              <w:t>124%</w:t>
            </w:r>
          </w:p>
        </w:tc>
      </w:tr>
      <w:tr w:rsidR="001069D3" w:rsidRPr="007A296F" w14:paraId="70483600" w14:textId="77777777" w:rsidTr="004519E3">
        <w:trPr>
          <w:trHeight w:val="454"/>
        </w:trPr>
        <w:tc>
          <w:tcPr>
            <w:tcW w:w="305" w:type="pct"/>
            <w:tcMar>
              <w:top w:w="0" w:type="dxa"/>
              <w:left w:w="108" w:type="dxa"/>
              <w:bottom w:w="0" w:type="dxa"/>
              <w:right w:w="108" w:type="dxa"/>
            </w:tcMar>
            <w:vAlign w:val="center"/>
            <w:hideMark/>
          </w:tcPr>
          <w:p w14:paraId="14C786EA" w14:textId="77777777" w:rsidR="001069D3" w:rsidRPr="007A296F" w:rsidRDefault="001069D3" w:rsidP="005224D3">
            <w:pPr>
              <w:spacing w:after="0" w:line="320" w:lineRule="exact"/>
              <w:jc w:val="center"/>
              <w:rPr>
                <w:b/>
                <w:bCs/>
                <w:szCs w:val="26"/>
              </w:rPr>
            </w:pPr>
            <w:r w:rsidRPr="007A296F">
              <w:rPr>
                <w:b/>
              </w:rPr>
              <w:t>3</w:t>
            </w:r>
          </w:p>
          <w:p w14:paraId="458F7721" w14:textId="77777777" w:rsidR="001069D3" w:rsidRPr="007A296F" w:rsidRDefault="001069D3" w:rsidP="005224D3">
            <w:pPr>
              <w:spacing w:after="0" w:line="320" w:lineRule="exact"/>
              <w:jc w:val="center"/>
              <w:rPr>
                <w:b/>
                <w:bCs/>
                <w:szCs w:val="26"/>
              </w:rPr>
            </w:pPr>
          </w:p>
        </w:tc>
        <w:tc>
          <w:tcPr>
            <w:tcW w:w="1946" w:type="pct"/>
            <w:tcMar>
              <w:top w:w="0" w:type="dxa"/>
              <w:left w:w="108" w:type="dxa"/>
              <w:bottom w:w="0" w:type="dxa"/>
              <w:right w:w="108" w:type="dxa"/>
            </w:tcMar>
            <w:vAlign w:val="center"/>
            <w:hideMark/>
          </w:tcPr>
          <w:p w14:paraId="2BDA08B4" w14:textId="77777777" w:rsidR="001069D3" w:rsidRPr="007A296F" w:rsidRDefault="001069D3" w:rsidP="005224D3">
            <w:pPr>
              <w:spacing w:after="0" w:line="320" w:lineRule="exact"/>
              <w:rPr>
                <w:b/>
                <w:bCs/>
                <w:szCs w:val="26"/>
              </w:rPr>
            </w:pPr>
            <w:r w:rsidRPr="007A296F">
              <w:rPr>
                <w:b/>
              </w:rPr>
              <w:t>Consolidated profit before tax (</w:t>
            </w:r>
            <w:r w:rsidRPr="007A296F">
              <w:rPr>
                <w:b/>
                <w:i/>
              </w:rPr>
              <w:t>VND bill.</w:t>
            </w:r>
            <w:r w:rsidRPr="007A296F">
              <w:rPr>
                <w:b/>
              </w:rPr>
              <w:t xml:space="preserve">) </w:t>
            </w:r>
          </w:p>
        </w:tc>
        <w:tc>
          <w:tcPr>
            <w:tcW w:w="801" w:type="pct"/>
            <w:tcMar>
              <w:top w:w="0" w:type="dxa"/>
              <w:left w:w="108" w:type="dxa"/>
              <w:bottom w:w="0" w:type="dxa"/>
              <w:right w:w="108" w:type="dxa"/>
            </w:tcMar>
            <w:vAlign w:val="center"/>
          </w:tcPr>
          <w:p w14:paraId="668CA174" w14:textId="77777777" w:rsidR="001069D3" w:rsidRPr="007A296F" w:rsidRDefault="001069D3" w:rsidP="005224D3">
            <w:pPr>
              <w:spacing w:after="0" w:line="320" w:lineRule="exact"/>
              <w:jc w:val="right"/>
              <w:rPr>
                <w:bCs/>
                <w:szCs w:val="26"/>
              </w:rPr>
            </w:pPr>
            <w:r w:rsidRPr="007A296F">
              <w:rPr>
                <w:color w:val="000000"/>
              </w:rPr>
              <w:t>3,200</w:t>
            </w:r>
          </w:p>
        </w:tc>
        <w:tc>
          <w:tcPr>
            <w:tcW w:w="1143" w:type="pct"/>
            <w:tcMar>
              <w:top w:w="0" w:type="dxa"/>
              <w:left w:w="108" w:type="dxa"/>
              <w:bottom w:w="0" w:type="dxa"/>
              <w:right w:w="108" w:type="dxa"/>
            </w:tcMar>
            <w:vAlign w:val="center"/>
          </w:tcPr>
          <w:p w14:paraId="3C1AC498" w14:textId="77777777" w:rsidR="001069D3" w:rsidRPr="007A296F" w:rsidRDefault="001069D3" w:rsidP="005224D3">
            <w:pPr>
              <w:spacing w:after="0" w:line="320" w:lineRule="exact"/>
              <w:jc w:val="right"/>
              <w:rPr>
                <w:szCs w:val="26"/>
              </w:rPr>
            </w:pPr>
            <w:r w:rsidRPr="007A296F">
              <w:rPr>
                <w:color w:val="000000"/>
              </w:rPr>
              <w:t>3,698</w:t>
            </w:r>
          </w:p>
        </w:tc>
        <w:tc>
          <w:tcPr>
            <w:tcW w:w="805" w:type="pct"/>
            <w:tcMar>
              <w:top w:w="0" w:type="dxa"/>
              <w:left w:w="108" w:type="dxa"/>
              <w:bottom w:w="0" w:type="dxa"/>
              <w:right w:w="108" w:type="dxa"/>
            </w:tcMar>
            <w:vAlign w:val="center"/>
          </w:tcPr>
          <w:p w14:paraId="69F4D2CF" w14:textId="77777777" w:rsidR="001069D3" w:rsidRPr="007A296F" w:rsidRDefault="001069D3" w:rsidP="005224D3">
            <w:pPr>
              <w:spacing w:after="0" w:line="320" w:lineRule="exact"/>
              <w:jc w:val="right"/>
              <w:rPr>
                <w:szCs w:val="26"/>
              </w:rPr>
            </w:pPr>
            <w:r w:rsidRPr="007A296F">
              <w:rPr>
                <w:color w:val="000000"/>
              </w:rPr>
              <w:t>116%</w:t>
            </w:r>
          </w:p>
        </w:tc>
      </w:tr>
      <w:tr w:rsidR="001069D3" w:rsidRPr="007A296F" w14:paraId="4212BC2F" w14:textId="77777777" w:rsidTr="004519E3">
        <w:trPr>
          <w:trHeight w:val="454"/>
        </w:trPr>
        <w:tc>
          <w:tcPr>
            <w:tcW w:w="305" w:type="pct"/>
            <w:tcMar>
              <w:top w:w="0" w:type="dxa"/>
              <w:left w:w="108" w:type="dxa"/>
              <w:bottom w:w="0" w:type="dxa"/>
              <w:right w:w="108" w:type="dxa"/>
            </w:tcMar>
            <w:vAlign w:val="center"/>
            <w:hideMark/>
          </w:tcPr>
          <w:p w14:paraId="1D4C7FEF" w14:textId="77777777" w:rsidR="001069D3" w:rsidRPr="007A296F" w:rsidRDefault="001069D3" w:rsidP="005224D3">
            <w:pPr>
              <w:spacing w:after="0" w:line="320" w:lineRule="exact"/>
              <w:jc w:val="center"/>
              <w:rPr>
                <w:szCs w:val="26"/>
              </w:rPr>
            </w:pPr>
          </w:p>
        </w:tc>
        <w:tc>
          <w:tcPr>
            <w:tcW w:w="1946" w:type="pct"/>
            <w:tcMar>
              <w:top w:w="0" w:type="dxa"/>
              <w:left w:w="108" w:type="dxa"/>
              <w:bottom w:w="0" w:type="dxa"/>
              <w:right w:w="108" w:type="dxa"/>
            </w:tcMar>
            <w:vAlign w:val="center"/>
            <w:hideMark/>
          </w:tcPr>
          <w:p w14:paraId="1AD4B6E3" w14:textId="77777777" w:rsidR="001069D3" w:rsidRPr="007A296F" w:rsidRDefault="001069D3" w:rsidP="005224D3">
            <w:pPr>
              <w:spacing w:after="0" w:line="320" w:lineRule="exact"/>
              <w:rPr>
                <w:i/>
                <w:iCs/>
                <w:szCs w:val="26"/>
              </w:rPr>
            </w:pPr>
            <w:r w:rsidRPr="007A296F">
              <w:rPr>
                <w:i/>
              </w:rPr>
              <w:t>In which: Parent Company</w:t>
            </w:r>
          </w:p>
        </w:tc>
        <w:tc>
          <w:tcPr>
            <w:tcW w:w="801" w:type="pct"/>
            <w:tcMar>
              <w:top w:w="0" w:type="dxa"/>
              <w:left w:w="108" w:type="dxa"/>
              <w:bottom w:w="0" w:type="dxa"/>
              <w:right w:w="108" w:type="dxa"/>
            </w:tcMar>
            <w:vAlign w:val="center"/>
          </w:tcPr>
          <w:p w14:paraId="6D78EBBE" w14:textId="77777777" w:rsidR="001069D3" w:rsidRPr="007A296F" w:rsidRDefault="001069D3" w:rsidP="005224D3">
            <w:pPr>
              <w:spacing w:after="0" w:line="320" w:lineRule="exact"/>
              <w:jc w:val="right"/>
              <w:rPr>
                <w:bCs/>
                <w:szCs w:val="26"/>
              </w:rPr>
            </w:pPr>
            <w:r w:rsidRPr="007A296F">
              <w:rPr>
                <w:color w:val="000000"/>
              </w:rPr>
              <w:t>1,936</w:t>
            </w:r>
          </w:p>
        </w:tc>
        <w:tc>
          <w:tcPr>
            <w:tcW w:w="1143" w:type="pct"/>
            <w:tcMar>
              <w:top w:w="0" w:type="dxa"/>
              <w:left w:w="108" w:type="dxa"/>
              <w:bottom w:w="0" w:type="dxa"/>
              <w:right w:w="108" w:type="dxa"/>
            </w:tcMar>
            <w:vAlign w:val="center"/>
          </w:tcPr>
          <w:p w14:paraId="52F8CA97" w14:textId="77777777" w:rsidR="001069D3" w:rsidRPr="007A296F" w:rsidRDefault="001069D3" w:rsidP="005224D3">
            <w:pPr>
              <w:spacing w:after="0" w:line="320" w:lineRule="exact"/>
              <w:jc w:val="right"/>
              <w:rPr>
                <w:szCs w:val="26"/>
              </w:rPr>
            </w:pPr>
            <w:r w:rsidRPr="007A296F">
              <w:rPr>
                <w:color w:val="000000"/>
              </w:rPr>
              <w:t>2,062</w:t>
            </w:r>
          </w:p>
        </w:tc>
        <w:tc>
          <w:tcPr>
            <w:tcW w:w="805" w:type="pct"/>
            <w:tcMar>
              <w:top w:w="0" w:type="dxa"/>
              <w:left w:w="108" w:type="dxa"/>
              <w:bottom w:w="0" w:type="dxa"/>
              <w:right w:w="108" w:type="dxa"/>
            </w:tcMar>
            <w:vAlign w:val="center"/>
          </w:tcPr>
          <w:p w14:paraId="2D80D25B" w14:textId="77777777" w:rsidR="001069D3" w:rsidRPr="007A296F" w:rsidRDefault="001069D3" w:rsidP="005224D3">
            <w:pPr>
              <w:spacing w:after="0" w:line="320" w:lineRule="exact"/>
              <w:jc w:val="right"/>
              <w:rPr>
                <w:szCs w:val="26"/>
              </w:rPr>
            </w:pPr>
            <w:r w:rsidRPr="007A296F">
              <w:rPr>
                <w:color w:val="000000"/>
              </w:rPr>
              <w:t>107%</w:t>
            </w:r>
          </w:p>
        </w:tc>
      </w:tr>
      <w:tr w:rsidR="001069D3" w:rsidRPr="007A296F" w14:paraId="3E29FE9F" w14:textId="77777777" w:rsidTr="004519E3">
        <w:trPr>
          <w:trHeight w:val="454"/>
        </w:trPr>
        <w:tc>
          <w:tcPr>
            <w:tcW w:w="305" w:type="pct"/>
            <w:tcMar>
              <w:top w:w="0" w:type="dxa"/>
              <w:left w:w="108" w:type="dxa"/>
              <w:bottom w:w="0" w:type="dxa"/>
              <w:right w:w="108" w:type="dxa"/>
            </w:tcMar>
            <w:vAlign w:val="center"/>
          </w:tcPr>
          <w:p w14:paraId="63CA29B8" w14:textId="77777777" w:rsidR="001069D3" w:rsidRPr="007A296F" w:rsidRDefault="001069D3" w:rsidP="005224D3">
            <w:pPr>
              <w:spacing w:after="0" w:line="320" w:lineRule="exact"/>
              <w:jc w:val="center"/>
              <w:rPr>
                <w:b/>
                <w:bCs/>
                <w:szCs w:val="26"/>
              </w:rPr>
            </w:pPr>
            <w:r w:rsidRPr="007A296F">
              <w:rPr>
                <w:b/>
              </w:rPr>
              <w:t>4</w:t>
            </w:r>
          </w:p>
        </w:tc>
        <w:tc>
          <w:tcPr>
            <w:tcW w:w="1946" w:type="pct"/>
            <w:tcMar>
              <w:top w:w="0" w:type="dxa"/>
              <w:left w:w="108" w:type="dxa"/>
              <w:bottom w:w="0" w:type="dxa"/>
              <w:right w:w="108" w:type="dxa"/>
            </w:tcMar>
            <w:vAlign w:val="center"/>
          </w:tcPr>
          <w:p w14:paraId="5DAF5F18" w14:textId="2CE0710B" w:rsidR="001069D3" w:rsidRPr="007A296F" w:rsidRDefault="001069D3" w:rsidP="005224D3">
            <w:pPr>
              <w:spacing w:after="0" w:line="320" w:lineRule="exact"/>
              <w:rPr>
                <w:b/>
                <w:bCs/>
                <w:szCs w:val="26"/>
              </w:rPr>
            </w:pPr>
            <w:r w:rsidRPr="007A296F">
              <w:rPr>
                <w:b/>
              </w:rPr>
              <w:t>Dividend distribution (%)</w:t>
            </w:r>
          </w:p>
        </w:tc>
        <w:tc>
          <w:tcPr>
            <w:tcW w:w="801" w:type="pct"/>
            <w:tcMar>
              <w:top w:w="0" w:type="dxa"/>
              <w:left w:w="108" w:type="dxa"/>
              <w:bottom w:w="0" w:type="dxa"/>
              <w:right w:w="108" w:type="dxa"/>
            </w:tcMar>
            <w:vAlign w:val="center"/>
          </w:tcPr>
          <w:p w14:paraId="2BE00119" w14:textId="77777777" w:rsidR="001069D3" w:rsidRPr="007A296F" w:rsidRDefault="001069D3" w:rsidP="005224D3">
            <w:pPr>
              <w:spacing w:after="0" w:line="320" w:lineRule="exact"/>
              <w:jc w:val="right"/>
              <w:rPr>
                <w:szCs w:val="26"/>
              </w:rPr>
            </w:pPr>
            <w:r w:rsidRPr="007A296F">
              <w:rPr>
                <w:color w:val="000000"/>
              </w:rPr>
              <w:t>10</w:t>
            </w:r>
          </w:p>
        </w:tc>
        <w:tc>
          <w:tcPr>
            <w:tcW w:w="1143" w:type="pct"/>
            <w:tcMar>
              <w:top w:w="0" w:type="dxa"/>
              <w:left w:w="108" w:type="dxa"/>
              <w:bottom w:w="0" w:type="dxa"/>
              <w:right w:w="108" w:type="dxa"/>
            </w:tcMar>
            <w:vAlign w:val="center"/>
          </w:tcPr>
          <w:p w14:paraId="4B96ECB4" w14:textId="7D075933" w:rsidR="001069D3" w:rsidRPr="00F60B85" w:rsidRDefault="00036CA4" w:rsidP="005224D3">
            <w:pPr>
              <w:spacing w:after="0" w:line="320" w:lineRule="exact"/>
              <w:jc w:val="right"/>
              <w:rPr>
                <w:szCs w:val="26"/>
              </w:rPr>
            </w:pPr>
            <w:r w:rsidRPr="007A296F">
              <w:rPr>
                <w:color w:val="EE0000"/>
              </w:rPr>
              <w:t>12%</w:t>
            </w:r>
            <w:r w:rsidR="003A14B5" w:rsidRPr="00F60B85">
              <w:rPr>
                <w:rStyle w:val="FootnoteReference"/>
                <w:color w:val="EE0000"/>
                <w:szCs w:val="26"/>
              </w:rPr>
              <w:footnoteReference w:id="2"/>
            </w:r>
          </w:p>
        </w:tc>
        <w:tc>
          <w:tcPr>
            <w:tcW w:w="805" w:type="pct"/>
            <w:tcMar>
              <w:top w:w="0" w:type="dxa"/>
              <w:left w:w="108" w:type="dxa"/>
              <w:bottom w:w="0" w:type="dxa"/>
              <w:right w:w="108" w:type="dxa"/>
            </w:tcMar>
            <w:vAlign w:val="center"/>
          </w:tcPr>
          <w:p w14:paraId="7803A04F" w14:textId="62E374EB" w:rsidR="001069D3" w:rsidRPr="00F60B85" w:rsidRDefault="001069D3" w:rsidP="005224D3">
            <w:pPr>
              <w:spacing w:after="0" w:line="320" w:lineRule="exact"/>
              <w:jc w:val="right"/>
              <w:rPr>
                <w:szCs w:val="26"/>
              </w:rPr>
            </w:pPr>
            <w:r w:rsidRPr="00F60B85">
              <w:rPr>
                <w:color w:val="EE0000"/>
              </w:rPr>
              <w:t>120%</w:t>
            </w:r>
          </w:p>
        </w:tc>
      </w:tr>
    </w:tbl>
    <w:p w14:paraId="39D566BA" w14:textId="77777777" w:rsidR="007D24F3" w:rsidRPr="007A296F" w:rsidRDefault="007D24F3" w:rsidP="00EC7D1B">
      <w:pPr>
        <w:spacing w:before="60" w:after="60" w:line="340" w:lineRule="exact"/>
        <w:ind w:firstLine="561"/>
        <w:jc w:val="both"/>
        <w:rPr>
          <w:bCs/>
          <w:szCs w:val="26"/>
        </w:rPr>
      </w:pPr>
      <w:r w:rsidRPr="007A296F">
        <w:t>In addition to excellent fulfillment of the targets assigned by the General Meeting of Shareholders, other fields embraced by the Group were recorded with good results. The highlights completed in the year were described as follows:</w:t>
      </w:r>
    </w:p>
    <w:p w14:paraId="4AD2D186" w14:textId="285DA292" w:rsidR="007D24F3" w:rsidRPr="007A296F" w:rsidRDefault="000670D1" w:rsidP="00EC7D1B">
      <w:pPr>
        <w:spacing w:before="60" w:after="60" w:line="340" w:lineRule="exact"/>
        <w:ind w:firstLine="561"/>
        <w:jc w:val="both"/>
        <w:rPr>
          <w:b/>
          <w:szCs w:val="26"/>
        </w:rPr>
      </w:pPr>
      <w:r w:rsidRPr="007A296F">
        <w:rPr>
          <w:b/>
        </w:rPr>
        <w:t>(1) Ensure the supply, maintain the stability of petroleum market</w:t>
      </w:r>
    </w:p>
    <w:p w14:paraId="14BCE75C" w14:textId="6BEF42A0" w:rsidR="007D24F3" w:rsidRPr="007A296F" w:rsidRDefault="007D24F3" w:rsidP="00EC7D1B">
      <w:pPr>
        <w:spacing w:before="60" w:after="60" w:line="340" w:lineRule="exact"/>
        <w:ind w:firstLine="561"/>
        <w:jc w:val="both"/>
        <w:rPr>
          <w:bCs/>
          <w:szCs w:val="26"/>
        </w:rPr>
      </w:pPr>
      <w:r w:rsidRPr="007A296F">
        <w:t xml:space="preserve">By strict adherence to the directions of the Government, the Prime Minister and the Ministry of Industry and Trade, in 2025, the Group successfully created the source to fulfill of total source assigned by the Ministry of Industry and Trade; ensuring stable petroleum supply for the market in any circumstances. </w:t>
      </w:r>
    </w:p>
    <w:p w14:paraId="2E047A8E" w14:textId="77777777" w:rsidR="007D24F3" w:rsidRPr="007A296F" w:rsidRDefault="007D24F3" w:rsidP="00EC7D1B">
      <w:pPr>
        <w:spacing w:before="60" w:after="60" w:line="340" w:lineRule="exact"/>
        <w:ind w:firstLine="561"/>
        <w:jc w:val="both"/>
        <w:rPr>
          <w:bCs/>
          <w:szCs w:val="26"/>
        </w:rPr>
      </w:pPr>
      <w:r w:rsidRPr="007A296F">
        <w:t>Especially, response and scenarios were timely initiated to ensure uninterrupted fuel supply to serve for essential demand of the local residents, minimizing risks to people and assets in case of Acts of God, storm, and floods.</w:t>
      </w:r>
    </w:p>
    <w:p w14:paraId="7CDE7405" w14:textId="1E95AEB3" w:rsidR="007D24F3" w:rsidRPr="007A296F" w:rsidRDefault="000670D1" w:rsidP="00EC7D1B">
      <w:pPr>
        <w:spacing w:before="60" w:after="60" w:line="340" w:lineRule="exact"/>
        <w:ind w:firstLine="561"/>
        <w:jc w:val="both"/>
        <w:rPr>
          <w:bCs/>
          <w:szCs w:val="26"/>
        </w:rPr>
      </w:pPr>
      <w:r w:rsidRPr="007A296F">
        <w:rPr>
          <w:b/>
        </w:rPr>
        <w:t xml:space="preserve">(2) Drastic implementation of organizational restructuring and streamlining under the Resolution No. 18-NQ/TW </w:t>
      </w:r>
    </w:p>
    <w:p w14:paraId="7D15ED3B" w14:textId="037C506B" w:rsidR="007D24F3" w:rsidRPr="007A296F" w:rsidRDefault="00DC7569" w:rsidP="00EC7D1B">
      <w:pPr>
        <w:spacing w:before="60" w:after="60" w:line="340" w:lineRule="exact"/>
        <w:ind w:firstLine="561"/>
        <w:jc w:val="both"/>
        <w:rPr>
          <w:bCs/>
          <w:szCs w:val="26"/>
        </w:rPr>
      </w:pPr>
      <w:r w:rsidRPr="007A296F">
        <w:t>The Group’s organizational model</w:t>
      </w:r>
      <w:r w:rsidR="00C86C5B" w:rsidRPr="007A296F">
        <w:t xml:space="preserve"> was</w:t>
      </w:r>
      <w:r w:rsidRPr="007A296F">
        <w:t xml:space="preserve"> actively reviewed and restructured toward greater efficiency and streamlined governance. Accordingly, the number of petroleum companies was reduced from 51 to 34; At the same time, Petrolimex merged Petrolimex Petroleum Services Corporation into the Parent Company and established a centralized Dispatch Operations Center (DOC); reorganized and consolidated the functional departments under a smart-lean-integrated model (reducing three departments); and dissolved representative offices in Ho Chi Minh City and Cambodia, dissolving 3 petroleum branches under subsidiaries. Internal regulations and governance frameworks were also reviewed, amended, and supplemented to ensure consistency and develop a reliable foundation for sustainable system-wide development.</w:t>
      </w:r>
    </w:p>
    <w:p w14:paraId="4D3AF5BB" w14:textId="68B3D684" w:rsidR="007D24F3" w:rsidRPr="007A296F" w:rsidRDefault="000670D1" w:rsidP="00EC7D1B">
      <w:pPr>
        <w:spacing w:before="60" w:after="60" w:line="340" w:lineRule="exact"/>
        <w:ind w:firstLine="561"/>
        <w:jc w:val="both"/>
        <w:rPr>
          <w:b/>
          <w:szCs w:val="26"/>
        </w:rPr>
      </w:pPr>
      <w:r w:rsidRPr="007A296F">
        <w:rPr>
          <w:b/>
        </w:rPr>
        <w:t>(3) Ensuring absolute safety and security for all operations</w:t>
      </w:r>
    </w:p>
    <w:p w14:paraId="69F1E62A" w14:textId="0E9ED138" w:rsidR="007D24F3" w:rsidRPr="007A296F" w:rsidRDefault="00EC19CE" w:rsidP="00EC7D1B">
      <w:pPr>
        <w:spacing w:before="60" w:after="60" w:line="340" w:lineRule="exact"/>
        <w:ind w:firstLine="561"/>
        <w:jc w:val="both"/>
        <w:rPr>
          <w:bCs/>
          <w:szCs w:val="26"/>
        </w:rPr>
      </w:pPr>
      <w:r w:rsidRPr="007A296F">
        <w:lastRenderedPageBreak/>
        <w:t>The</w:t>
      </w:r>
      <w:r w:rsidR="007345A8" w:rsidRPr="007A296F">
        <w:t xml:space="preserve"> BOM directed the entire</w:t>
      </w:r>
      <w:r w:rsidRPr="007A296F">
        <w:t xml:space="preserve"> Group </w:t>
      </w:r>
      <w:r w:rsidR="007345A8" w:rsidRPr="007A296F">
        <w:t>to strictly comply</w:t>
      </w:r>
      <w:r w:rsidRPr="00F60B85">
        <w:t xml:space="preserve"> with safety and security regulations in all operations, strengthening inspection and supervision of firefighting and prevention, environmental protection, depot and retail station safety. Units were required to regularly review and improve contingency and disaster response plans to ensure safe, stable, and uninterrupted operations. In 2025, no major safety incidents occurred across the Group. </w:t>
      </w:r>
    </w:p>
    <w:p w14:paraId="0017D44B" w14:textId="3862F8DC" w:rsidR="007D24F3" w:rsidRPr="007A296F" w:rsidRDefault="000670D1" w:rsidP="00EC7D1B">
      <w:pPr>
        <w:spacing w:before="60" w:after="60" w:line="340" w:lineRule="exact"/>
        <w:ind w:firstLine="561"/>
        <w:jc w:val="both"/>
        <w:rPr>
          <w:b/>
          <w:szCs w:val="26"/>
        </w:rPr>
      </w:pPr>
      <w:r w:rsidRPr="007A296F">
        <w:rPr>
          <w:b/>
        </w:rPr>
        <w:t xml:space="preserve">(4) Enhancing IT application and digital transformation </w:t>
      </w:r>
    </w:p>
    <w:p w14:paraId="59391A8D" w14:textId="3C028C30" w:rsidR="007D24F3" w:rsidRPr="00F60B85" w:rsidRDefault="00D03D30" w:rsidP="00EC7D1B">
      <w:pPr>
        <w:spacing w:before="60" w:after="60" w:line="340" w:lineRule="exact"/>
        <w:ind w:firstLine="561"/>
        <w:jc w:val="both"/>
        <w:rPr>
          <w:bCs/>
          <w:szCs w:val="26"/>
        </w:rPr>
      </w:pPr>
      <w:r w:rsidRPr="007A296F">
        <w:t>The Board of Management directed to accelerate the digital transformation and IT application for governance, operations, and customer services. The Group’s key achievements in 2025 included the implementation of e-invoicing under the Decree No. 70/2025/ND-CP; operation of ERP modules for asset and contract management; digitalization of pricing information; expansion of non-cash payment; enhancement of the Digital Office; operation of the Petrolimex ID platform; and promotion of documentation digitalization towards non-paper office orientation. M</w:t>
      </w:r>
      <w:r w:rsidR="007345A8" w:rsidRPr="007A296F">
        <w:t xml:space="preserve">any </w:t>
      </w:r>
      <w:r w:rsidRPr="007A296F">
        <w:t xml:space="preserve">digital </w:t>
      </w:r>
      <w:r w:rsidR="008756E3" w:rsidRPr="007A296F">
        <w:t xml:space="preserve">transformation </w:t>
      </w:r>
      <w:r w:rsidRPr="007A296F">
        <w:t>initiatives</w:t>
      </w:r>
      <w:r w:rsidRPr="00F60B85">
        <w:t xml:space="preserve"> </w:t>
      </w:r>
      <w:r w:rsidR="00F60B85">
        <w:t xml:space="preserve">of the Group </w:t>
      </w:r>
      <w:r w:rsidRPr="00F60B85">
        <w:t xml:space="preserve">have been recognized as outstanding models among state-owned enterprises. </w:t>
      </w:r>
    </w:p>
    <w:p w14:paraId="7EBC6E08" w14:textId="47202EA2" w:rsidR="007D24F3" w:rsidRPr="00F60B85" w:rsidRDefault="000670D1" w:rsidP="00EC7D1B">
      <w:pPr>
        <w:spacing w:before="60" w:after="60" w:line="340" w:lineRule="exact"/>
        <w:ind w:firstLine="561"/>
        <w:jc w:val="both"/>
        <w:rPr>
          <w:b/>
          <w:szCs w:val="26"/>
        </w:rPr>
      </w:pPr>
      <w:r w:rsidRPr="00F60B85">
        <w:rPr>
          <w:b/>
        </w:rPr>
        <w:t>(5) System investment and development</w:t>
      </w:r>
    </w:p>
    <w:p w14:paraId="033649CD" w14:textId="77777777" w:rsidR="003D1560" w:rsidRPr="007A296F" w:rsidRDefault="004427F8" w:rsidP="00EC7D1B">
      <w:pPr>
        <w:spacing w:before="60" w:after="60" w:line="340" w:lineRule="exact"/>
        <w:ind w:firstLine="561"/>
        <w:jc w:val="both"/>
        <w:rPr>
          <w:bCs/>
          <w:szCs w:val="26"/>
        </w:rPr>
      </w:pPr>
      <w:r w:rsidRPr="00F60B85">
        <w:t>In 2025, the Board of Management focused on directing the effective implementation of investment activities in accordance with approved strategies and plans, achieving remarkable outcomes. The Group’s headquarter project at No. 01 Kham Thien was completed,</w:t>
      </w:r>
      <w:r w:rsidRPr="007A296F">
        <w:t xml:space="preserve"> inaugurated, and put into operation in October 2025, improving its infrastructure and corporate image. </w:t>
      </w:r>
    </w:p>
    <w:p w14:paraId="447B84A0" w14:textId="3805D75D" w:rsidR="00555068" w:rsidRPr="007A296F" w:rsidRDefault="004427F8" w:rsidP="00EC7D1B">
      <w:pPr>
        <w:spacing w:before="60" w:after="60" w:line="340" w:lineRule="exact"/>
        <w:ind w:firstLine="561"/>
        <w:jc w:val="both"/>
        <w:rPr>
          <w:bCs/>
          <w:szCs w:val="26"/>
        </w:rPr>
      </w:pPr>
      <w:r w:rsidRPr="007A296F">
        <w:t xml:space="preserve">The Board of Management (BOM) also strongly directed investments in technical infrastructure to serve for business activities. As of December 31, 2025, Petrolimex was recognized as the bid winner for nine pairs of </w:t>
      </w:r>
      <w:r w:rsidR="008756E3" w:rsidRPr="007A296F">
        <w:t>rest stop services</w:t>
      </w:r>
      <w:r w:rsidRPr="007A296F">
        <w:t xml:space="preserve"> </w:t>
      </w:r>
      <w:r w:rsidRPr="00F60B85">
        <w:t>along the Easter</w:t>
      </w:r>
      <w:r w:rsidR="00F32410">
        <w:t>n North-South Expressway which are</w:t>
      </w:r>
      <w:r w:rsidRPr="00F60B85">
        <w:t xml:space="preserve"> actively deploying construction, with several projects already completed and put into operation. This result continued </w:t>
      </w:r>
      <w:r w:rsidR="007521F7" w:rsidRPr="00F60B85">
        <w:t xml:space="preserve">to </w:t>
      </w:r>
      <w:r w:rsidRPr="00F60B85">
        <w:t>affirm the BOM’s strict leading role in launching investment strategy, developing a good space for growth and sustainable development of the Group.</w:t>
      </w:r>
    </w:p>
    <w:p w14:paraId="14AB896A" w14:textId="397A6C42" w:rsidR="000E6F77" w:rsidRPr="007A296F" w:rsidRDefault="00C66FF6" w:rsidP="00EC7D1B">
      <w:pPr>
        <w:spacing w:before="60" w:after="60" w:line="340" w:lineRule="exact"/>
        <w:ind w:firstLine="561"/>
        <w:jc w:val="both"/>
        <w:rPr>
          <w:bCs/>
          <w:szCs w:val="26"/>
        </w:rPr>
      </w:pPr>
      <w:r w:rsidRPr="007A296F">
        <w:t>Additionally, the BOM directed the pilot project to build and comprehensively upgrade 12 petrol stations into truck service station models in accordance with the resolutions of the Standing Party Committee and the BOM.</w:t>
      </w:r>
    </w:p>
    <w:p w14:paraId="5422CF6B" w14:textId="7F60B577" w:rsidR="007D24F3" w:rsidRPr="007A296F" w:rsidRDefault="00765344" w:rsidP="00EC7D1B">
      <w:pPr>
        <w:spacing w:before="60" w:after="60" w:line="340" w:lineRule="exact"/>
        <w:ind w:firstLine="561"/>
        <w:jc w:val="both"/>
        <w:rPr>
          <w:bCs/>
          <w:szCs w:val="26"/>
        </w:rPr>
      </w:pPr>
      <w:r w:rsidRPr="007A296F">
        <w:t>Total realized investment value in 2025 reached nearly VND 3,200 billion, fulfilling 102% of plan. In the year, the retail network expanded with 76 new petrol stations, bringing the total to 2,831 petrol stations, nationwide.</w:t>
      </w:r>
    </w:p>
    <w:p w14:paraId="567C2272" w14:textId="2BC9318E" w:rsidR="007D24F3" w:rsidRPr="00F60B85" w:rsidRDefault="000670D1" w:rsidP="00EC7D1B">
      <w:pPr>
        <w:spacing w:before="60" w:after="60" w:line="340" w:lineRule="exact"/>
        <w:ind w:firstLine="561"/>
        <w:jc w:val="both"/>
        <w:rPr>
          <w:bCs/>
          <w:szCs w:val="26"/>
        </w:rPr>
      </w:pPr>
      <w:r w:rsidRPr="007A296F">
        <w:rPr>
          <w:b/>
        </w:rPr>
        <w:t xml:space="preserve">(6) Social </w:t>
      </w:r>
      <w:r w:rsidR="008756E3" w:rsidRPr="007A296F">
        <w:rPr>
          <w:b/>
        </w:rPr>
        <w:t>welfare activities</w:t>
      </w:r>
      <w:r w:rsidRPr="007A296F">
        <w:t xml:space="preserve"> </w:t>
      </w:r>
    </w:p>
    <w:p w14:paraId="734262CD" w14:textId="3A821317" w:rsidR="007D24F3" w:rsidRPr="00F60B85" w:rsidRDefault="007D24F3" w:rsidP="00EC7D1B">
      <w:pPr>
        <w:spacing w:before="60" w:after="60" w:line="340" w:lineRule="exact"/>
        <w:ind w:firstLine="561"/>
        <w:jc w:val="both"/>
        <w:rPr>
          <w:bCs/>
          <w:szCs w:val="26"/>
        </w:rPr>
      </w:pPr>
      <w:r w:rsidRPr="00F60B85">
        <w:t xml:space="preserve">In 2025, Petrolimex launched the social welfare programs with total value of nearly VND 240 billion, fulfilling 100% of the plan. The social </w:t>
      </w:r>
      <w:r w:rsidR="008756E3" w:rsidRPr="00F60B85">
        <w:t>welfare</w:t>
      </w:r>
      <w:r w:rsidRPr="00F60B85">
        <w:t xml:space="preserve"> activities focused on m</w:t>
      </w:r>
      <w:r w:rsidR="008756E3" w:rsidRPr="00F60B85">
        <w:t>any</w:t>
      </w:r>
      <w:r w:rsidRPr="00F60B85">
        <w:t xml:space="preserve"> practical fields such as disaster relief, housing support for disadvantaged households, school construction, medical equipment donations, </w:t>
      </w:r>
      <w:r w:rsidRPr="00F60B85">
        <w:lastRenderedPageBreak/>
        <w:t xml:space="preserve">contributions to poverty alleviation funds, </w:t>
      </w:r>
      <w:r w:rsidR="005D6FDA" w:rsidRPr="00F60B85">
        <w:t>and support</w:t>
      </w:r>
      <w:r w:rsidRPr="00F60B85">
        <w:t xml:space="preserve"> for children in difficult circumstances or with serious illnesses, and activities honoring war martyrs and veterans on the occasion of Vietnamese War Invalids and Martyrs' Day (27</w:t>
      </w:r>
      <w:r w:rsidR="008756E3" w:rsidRPr="007A296F">
        <w:rPr>
          <w:vertAlign w:val="superscript"/>
        </w:rPr>
        <w:t>th</w:t>
      </w:r>
      <w:r w:rsidR="008756E3" w:rsidRPr="00F60B85">
        <w:t xml:space="preserve"> </w:t>
      </w:r>
      <w:r w:rsidRPr="00F60B85">
        <w:t>July), etc.</w:t>
      </w:r>
    </w:p>
    <w:p w14:paraId="54D5482F" w14:textId="55B153A8" w:rsidR="007D24F3" w:rsidRPr="007A296F" w:rsidRDefault="007D24F3" w:rsidP="00EC7D1B">
      <w:pPr>
        <w:spacing w:before="60" w:after="60" w:line="340" w:lineRule="exact"/>
        <w:ind w:firstLine="561"/>
        <w:jc w:val="both"/>
        <w:rPr>
          <w:bCs/>
          <w:szCs w:val="26"/>
        </w:rPr>
      </w:pPr>
      <w:r w:rsidRPr="00F60B85">
        <w:t>Various cultural and sports activities and emulation campaigns were also held to celebrate its 70</w:t>
      </w:r>
      <w:r w:rsidRPr="00F60B85">
        <w:rPr>
          <w:vertAlign w:val="superscript"/>
        </w:rPr>
        <w:t>th</w:t>
      </w:r>
      <w:r w:rsidRPr="00F60B85">
        <w:t xml:space="preserve"> Anniversary. Especially, the 70</w:t>
      </w:r>
      <w:r w:rsidRPr="00F60B85">
        <w:rPr>
          <w:vertAlign w:val="superscript"/>
        </w:rPr>
        <w:t>th</w:t>
      </w:r>
      <w:r w:rsidRPr="00F60B85">
        <w:t xml:space="preserve"> anniversary celebration held in January 2026 strengthened internal cohesion,</w:t>
      </w:r>
      <w:r w:rsidRPr="007A296F">
        <w:t xml:space="preserve"> reinforced trust, and inspired a renewed spirit of responsibility and innovation among employees, facilitating a strong cultural foundation for the Group to move to the next development phase with great determination of renovation and sustainable development.</w:t>
      </w:r>
    </w:p>
    <w:p w14:paraId="52FD238A" w14:textId="797FBADB" w:rsidR="00505981" w:rsidRPr="007A296F" w:rsidRDefault="00505981" w:rsidP="00EC7D1B">
      <w:pPr>
        <w:spacing w:before="60" w:after="60" w:line="340" w:lineRule="exact"/>
        <w:ind w:firstLine="561"/>
        <w:jc w:val="both"/>
        <w:rPr>
          <w:b/>
          <w:i/>
          <w:szCs w:val="26"/>
        </w:rPr>
      </w:pPr>
      <w:r w:rsidRPr="007A296F">
        <w:rPr>
          <w:b/>
        </w:rPr>
        <w:t>2.2. Regarding the 2024 profit and dividend distribution plan</w:t>
      </w:r>
    </w:p>
    <w:p w14:paraId="7B0D69AC" w14:textId="2B233EBC" w:rsidR="00E01A05" w:rsidRPr="007A296F" w:rsidRDefault="008756E3" w:rsidP="00EC7D1B">
      <w:pPr>
        <w:spacing w:before="60" w:after="60" w:line="340" w:lineRule="exact"/>
        <w:ind w:firstLine="567"/>
        <w:jc w:val="both"/>
        <w:rPr>
          <w:i/>
          <w:spacing w:val="6"/>
          <w:szCs w:val="26"/>
        </w:rPr>
      </w:pPr>
      <w:r w:rsidRPr="007A296F">
        <w:t xml:space="preserve">According </w:t>
      </w:r>
      <w:r w:rsidR="00E01A05" w:rsidRPr="007A296F">
        <w:t xml:space="preserve">to the 2024 AGM Resolutions, the BOM implemented dividend payment as prescribed by the laws </w:t>
      </w:r>
      <w:r w:rsidR="00E01A05" w:rsidRPr="007A296F">
        <w:rPr>
          <w:i/>
        </w:rPr>
        <w:t>(the 2024 dividend was 12%)</w:t>
      </w:r>
      <w:r w:rsidR="00E01A05" w:rsidRPr="007A296F">
        <w:t>.</w:t>
      </w:r>
    </w:p>
    <w:p w14:paraId="5644AD7B" w14:textId="0509583D" w:rsidR="00505981" w:rsidRPr="007A296F" w:rsidRDefault="00505981" w:rsidP="00EC7D1B">
      <w:pPr>
        <w:shd w:val="clear" w:color="auto" w:fill="FFFFFF" w:themeFill="background1"/>
        <w:spacing w:before="60" w:after="60" w:line="340" w:lineRule="exact"/>
        <w:ind w:firstLine="562"/>
        <w:jc w:val="both"/>
        <w:rPr>
          <w:b/>
          <w:i/>
          <w:iCs/>
          <w:szCs w:val="26"/>
        </w:rPr>
      </w:pPr>
      <w:r w:rsidRPr="007A296F">
        <w:rPr>
          <w:b/>
        </w:rPr>
        <w:t xml:space="preserve">2.3. Remuneration and operating costs of the BOM </w:t>
      </w:r>
    </w:p>
    <w:p w14:paraId="246E8464" w14:textId="4B4787E8" w:rsidR="00455C13" w:rsidRPr="007A296F" w:rsidRDefault="007658EC" w:rsidP="00EC7D1B">
      <w:pPr>
        <w:spacing w:before="60" w:after="60" w:line="340" w:lineRule="exact"/>
        <w:ind w:firstLine="562"/>
        <w:jc w:val="both"/>
        <w:rPr>
          <w:iCs/>
          <w:szCs w:val="26"/>
        </w:rPr>
      </w:pPr>
      <w:r w:rsidRPr="007A296F">
        <w:t>The 2025 salary, remuneration and operating costs of the BOM were paid in accordance with the 2025 AGM Resolution.</w:t>
      </w:r>
    </w:p>
    <w:p w14:paraId="27437B1C" w14:textId="6EFB8CB9" w:rsidR="007658EC" w:rsidRPr="007A296F" w:rsidRDefault="007658EC" w:rsidP="00EC7D1B">
      <w:pPr>
        <w:autoSpaceDE w:val="0"/>
        <w:autoSpaceDN w:val="0"/>
        <w:adjustRightInd w:val="0"/>
        <w:spacing w:before="60" w:after="60" w:line="340" w:lineRule="exact"/>
        <w:ind w:firstLine="567"/>
        <w:jc w:val="both"/>
        <w:rPr>
          <w:i/>
          <w:iCs/>
          <w:szCs w:val="26"/>
        </w:rPr>
      </w:pPr>
      <w:r w:rsidRPr="007A296F">
        <w:t>Total salary and remuneration of members of Board of Management in 2025 expected to be submitted to the General Meeting of Shareholders for approval was VND 5,022,328,941 (</w:t>
      </w:r>
      <w:r w:rsidRPr="007A296F">
        <w:rPr>
          <w:i/>
          <w:iCs/>
        </w:rPr>
        <w:t>The detailed statement is shown in later section of the General Meeting</w:t>
      </w:r>
      <w:r w:rsidRPr="007A296F">
        <w:t>).</w:t>
      </w:r>
      <w:r w:rsidRPr="007A296F">
        <w:rPr>
          <w:i/>
        </w:rPr>
        <w:t xml:space="preserve"> </w:t>
      </w:r>
    </w:p>
    <w:p w14:paraId="3043F4D2" w14:textId="33FA8ACE" w:rsidR="007658EC" w:rsidRPr="00F60B85" w:rsidRDefault="005D6FDA" w:rsidP="00EC7D1B">
      <w:pPr>
        <w:spacing w:before="60" w:after="60" w:line="340" w:lineRule="exact"/>
        <w:ind w:firstLine="562"/>
        <w:jc w:val="both"/>
        <w:rPr>
          <w:bCs/>
          <w:szCs w:val="26"/>
          <w:highlight w:val="yellow"/>
        </w:rPr>
      </w:pPr>
      <w:r w:rsidRPr="007A296F">
        <w:t>T</w:t>
      </w:r>
      <w:r w:rsidR="007658EC" w:rsidRPr="007A296F">
        <w:t>he 2025 operating costs of the BOM w</w:t>
      </w:r>
      <w:r w:rsidR="00C86C5B" w:rsidRPr="007A296F">
        <w:t>ere</w:t>
      </w:r>
      <w:r w:rsidR="007658EC" w:rsidRPr="007A296F">
        <w:t xml:space="preserve"> </w:t>
      </w:r>
      <w:r w:rsidR="00960866" w:rsidRPr="007A296F">
        <w:t>incurred in compliance</w:t>
      </w:r>
      <w:r w:rsidR="007658EC" w:rsidRPr="007A296F">
        <w:t xml:space="preserve"> with </w:t>
      </w:r>
      <w:r w:rsidR="007658EC" w:rsidRPr="00F60B85">
        <w:t>the BOM’s Operati</w:t>
      </w:r>
      <w:r w:rsidR="00960866" w:rsidRPr="00F60B85">
        <w:t xml:space="preserve">on </w:t>
      </w:r>
      <w:r w:rsidR="007658EC" w:rsidRPr="00F60B85">
        <w:t>Regulation and Petrolimex’s Internal Expenditure Regulation.</w:t>
      </w:r>
    </w:p>
    <w:p w14:paraId="2DFB2FF2" w14:textId="3BAD0CD6" w:rsidR="00505981" w:rsidRPr="00F60B85" w:rsidRDefault="00505981" w:rsidP="00EC7D1B">
      <w:pPr>
        <w:spacing w:before="60" w:after="60" w:line="340" w:lineRule="exact"/>
        <w:ind w:firstLine="562"/>
        <w:jc w:val="both"/>
        <w:rPr>
          <w:b/>
          <w:i/>
          <w:szCs w:val="26"/>
        </w:rPr>
      </w:pPr>
      <w:r w:rsidRPr="00F60B85">
        <w:rPr>
          <w:b/>
        </w:rPr>
        <w:t>2.4. Operations of committees under the BOM</w:t>
      </w:r>
    </w:p>
    <w:p w14:paraId="058C72EB" w14:textId="35C23C59" w:rsidR="005A601D" w:rsidRPr="007A296F" w:rsidRDefault="005A601D" w:rsidP="00EC7D1B">
      <w:pPr>
        <w:spacing w:before="60" w:after="60" w:line="340" w:lineRule="exact"/>
        <w:ind w:firstLine="562"/>
        <w:jc w:val="both"/>
        <w:rPr>
          <w:bCs/>
          <w:szCs w:val="26"/>
        </w:rPr>
      </w:pPr>
      <w:r w:rsidRPr="00F60B85">
        <w:t xml:space="preserve">In 2025, the committees under the BOM </w:t>
      </w:r>
      <w:r w:rsidR="00960866" w:rsidRPr="00F60B85">
        <w:t>successfully advised and assisted</w:t>
      </w:r>
      <w:r w:rsidR="00960866" w:rsidRPr="007A296F">
        <w:t xml:space="preserve"> to fulfill the</w:t>
      </w:r>
      <w:r w:rsidRPr="007A296F">
        <w:t xml:space="preserve"> BOM</w:t>
      </w:r>
      <w:r w:rsidR="00960866" w:rsidRPr="007A296F">
        <w:t>’s</w:t>
      </w:r>
      <w:r w:rsidRPr="007A296F">
        <w:t xml:space="preserve"> operation</w:t>
      </w:r>
      <w:r w:rsidR="00960866" w:rsidRPr="007A296F">
        <w:t>s</w:t>
      </w:r>
      <w:r w:rsidRPr="007A296F">
        <w:t xml:space="preserve"> in accordance with the assigned functions and missions; advised the BOM in streamline the apparatus, reviewing, developing, amending the Group’s Charter, Group’s internal governance rules and regulations in accordance with the new laws and practice of Petrolimex; appraised the projects, and solutions submitted to the BOM for approval under the authority.</w:t>
      </w:r>
    </w:p>
    <w:p w14:paraId="182CF1B4" w14:textId="2533BC7A" w:rsidR="00505981" w:rsidRPr="007A296F" w:rsidRDefault="00505981" w:rsidP="00EC7D1B">
      <w:pPr>
        <w:spacing w:before="60" w:after="60" w:line="340" w:lineRule="exact"/>
        <w:ind w:firstLine="562"/>
        <w:jc w:val="both"/>
        <w:rPr>
          <w:b/>
          <w:i/>
          <w:szCs w:val="26"/>
        </w:rPr>
      </w:pPr>
      <w:r w:rsidRPr="007A296F">
        <w:rPr>
          <w:b/>
        </w:rPr>
        <w:t>2.5. Supervision for the General Director and managers</w:t>
      </w:r>
    </w:p>
    <w:p w14:paraId="354B7C6C" w14:textId="779202E9" w:rsidR="002728ED" w:rsidRPr="007A296F" w:rsidRDefault="002728ED" w:rsidP="00EC7D1B">
      <w:pPr>
        <w:spacing w:before="60" w:after="60" w:line="340" w:lineRule="exact"/>
        <w:ind w:firstLine="562"/>
        <w:jc w:val="both"/>
        <w:rPr>
          <w:bCs/>
          <w:szCs w:val="26"/>
        </w:rPr>
      </w:pPr>
      <w:r w:rsidRPr="007A296F">
        <w:t xml:space="preserve">In 2025, the Board of Management fully exercised its supervisory function over the General Director in accordance with the Law on Enterprises, the Charter, and internal governance </w:t>
      </w:r>
      <w:r w:rsidR="00F60B85" w:rsidRPr="007A296F">
        <w:t>regulations;</w:t>
      </w:r>
      <w:r w:rsidRPr="007A296F">
        <w:t xml:space="preserve"> ensuring close coordination between governance and executive functions to improve the Group’s operating efficiency and effectiveness.</w:t>
      </w:r>
    </w:p>
    <w:p w14:paraId="70097F62" w14:textId="3F40936C" w:rsidR="002728ED" w:rsidRPr="007A296F" w:rsidRDefault="002728ED" w:rsidP="00EC7D1B">
      <w:pPr>
        <w:spacing w:before="60" w:after="60" w:line="340" w:lineRule="exact"/>
        <w:ind w:firstLine="562"/>
        <w:jc w:val="both"/>
        <w:rPr>
          <w:bCs/>
          <w:szCs w:val="26"/>
        </w:rPr>
      </w:pPr>
      <w:r w:rsidRPr="007A296F">
        <w:t xml:space="preserve">The Board of Management strictly monitored the management performance of the General Director through BOM meetings, periodic and ad-hoc reports, internal control systems, and governance oversight mechanisms. This enabled timely direction and resolution of key matters while allowing the General Director and the Executive Management Board to achieve the active and flexible management of the Group’s operations. </w:t>
      </w:r>
    </w:p>
    <w:p w14:paraId="17CB0FD8" w14:textId="4557CFA8" w:rsidR="002728ED" w:rsidRPr="007A296F" w:rsidRDefault="002728ED" w:rsidP="00EC7D1B">
      <w:pPr>
        <w:spacing w:before="60" w:after="60" w:line="340" w:lineRule="exact"/>
        <w:ind w:firstLine="562"/>
        <w:jc w:val="both"/>
        <w:rPr>
          <w:bCs/>
          <w:szCs w:val="26"/>
        </w:rPr>
      </w:pPr>
      <w:r w:rsidRPr="007A296F">
        <w:lastRenderedPageBreak/>
        <w:t xml:space="preserve">The General Director and the Executive Management Board fully and strictly adhered to the resolutions of the General Meeting of Shareholders and the BOM, while managing the production and business activities as decentralized, complying with the Group’s Charter and the internal management regulation system. The Executive Management Board actively launched a series of governance solutions, enhancing the governance efficiency, optimizing the cost management, and operational optimization; synchronous and flexible management in accordance with the BOM’s orientations and energy market development from time to time. Especially, during periods of market volatility, the Executive Management Board timely organized the business and supporting solutions to ensure stable domestic fuel supply, significantly contributing to market stability and national energy security. </w:t>
      </w:r>
    </w:p>
    <w:p w14:paraId="0339126E" w14:textId="242E0FBB" w:rsidR="002728ED" w:rsidRPr="007A296F" w:rsidRDefault="00743245" w:rsidP="00EC7D1B">
      <w:pPr>
        <w:spacing w:before="60" w:after="60" w:line="340" w:lineRule="exact"/>
        <w:ind w:firstLine="562"/>
        <w:jc w:val="both"/>
        <w:rPr>
          <w:bCs/>
          <w:szCs w:val="26"/>
        </w:rPr>
      </w:pPr>
      <w:r w:rsidRPr="007A296F">
        <w:t>Overall, in 2025, the General Director and the Executive Management Board outperformed their assigned tasks, demonstrating a h</w:t>
      </w:r>
      <w:r w:rsidR="005D6FDA" w:rsidRPr="007A296F">
        <w:t xml:space="preserve">igh sense of accountability, </w:t>
      </w:r>
      <w:r w:rsidRPr="007A296F">
        <w:t xml:space="preserve">activeness, and flexibility in addressing arising problems. They effectively conducted resolutions and decisions of both the General Meeting of Shareholders and the Board of Management, making significant contribution to the Group's stable operation, maintaining its position as a leading enterprise in the petroleum sector, and making a positive contribution to the socio-economic development of Vietnam. </w:t>
      </w:r>
    </w:p>
    <w:p w14:paraId="1B658E13" w14:textId="2F3DAFED" w:rsidR="00505981" w:rsidRPr="007A296F" w:rsidRDefault="00505981" w:rsidP="00EC7D1B">
      <w:pPr>
        <w:spacing w:before="60" w:after="60" w:line="340" w:lineRule="exact"/>
        <w:ind w:firstLine="562"/>
        <w:jc w:val="both"/>
        <w:rPr>
          <w:b/>
          <w:i/>
          <w:iCs/>
          <w:szCs w:val="26"/>
        </w:rPr>
      </w:pPr>
      <w:r w:rsidRPr="007A296F">
        <w:rPr>
          <w:b/>
        </w:rPr>
        <w:t xml:space="preserve">2.6. Assessment on BOM’s operations by the Independent BOM Member </w:t>
      </w:r>
    </w:p>
    <w:p w14:paraId="0ACC50E0" w14:textId="4F3B5992" w:rsidR="00A54021" w:rsidRPr="007A296F" w:rsidRDefault="00A54021" w:rsidP="00EC7D1B">
      <w:pPr>
        <w:spacing w:before="60" w:after="60" w:line="340" w:lineRule="exact"/>
        <w:ind w:firstLine="567"/>
        <w:jc w:val="both"/>
        <w:rPr>
          <w:szCs w:val="26"/>
        </w:rPr>
      </w:pPr>
      <w:r w:rsidRPr="007A296F">
        <w:t xml:space="preserve">The 2025 operations of Petrolimex BOM were held and complied with the Group’s Charter, the Internal Governance Regulation, </w:t>
      </w:r>
      <w:r w:rsidR="00990CD4" w:rsidRPr="007A296F">
        <w:t>Operation Regulation</w:t>
      </w:r>
      <w:r w:rsidRPr="007A296F">
        <w:t>s of BOM and provisions of the applicable laws and fully fulfilled the contents in accordance with GMS’s Resolutions.</w:t>
      </w:r>
    </w:p>
    <w:p w14:paraId="2BFC864D" w14:textId="5A4EA4A0" w:rsidR="008E25A2" w:rsidRPr="007A296F" w:rsidRDefault="00A54021" w:rsidP="00756C86">
      <w:pPr>
        <w:spacing w:before="60" w:after="60" w:line="340" w:lineRule="exact"/>
        <w:ind w:firstLine="562"/>
        <w:jc w:val="both"/>
        <w:rPr>
          <w:bCs/>
          <w:i/>
          <w:iCs/>
          <w:szCs w:val="26"/>
        </w:rPr>
      </w:pPr>
      <w:r w:rsidRPr="007A296F">
        <w:t>(</w:t>
      </w:r>
      <w:r w:rsidRPr="007A296F">
        <w:rPr>
          <w:i/>
        </w:rPr>
        <w:t>The independent BOM Member’s Assessment Report on the 2025 BOM operations was detailed at attached Appendix</w:t>
      </w:r>
      <w:r w:rsidRPr="007A296F">
        <w:t>).</w:t>
      </w:r>
    </w:p>
    <w:p w14:paraId="68EC86BA" w14:textId="4A910C18" w:rsidR="00EA3FC7" w:rsidRPr="007A296F" w:rsidRDefault="00EA3FC7" w:rsidP="001A7380">
      <w:pPr>
        <w:spacing w:before="60" w:after="0" w:line="276" w:lineRule="auto"/>
        <w:ind w:firstLine="562"/>
        <w:jc w:val="both"/>
        <w:rPr>
          <w:b/>
          <w:szCs w:val="26"/>
        </w:rPr>
      </w:pPr>
      <w:r w:rsidRPr="007A296F">
        <w:rPr>
          <w:b/>
        </w:rPr>
        <w:t>II. THE 2026 PRODUCTION AND BUSINESS PLAN AND OPERATING ORIENTATIONS OF THE BOARD OF MANAGEMENT</w:t>
      </w:r>
    </w:p>
    <w:p w14:paraId="6F4E760D" w14:textId="3989CE8F" w:rsidR="008D2CDF" w:rsidRPr="007A296F" w:rsidRDefault="008D2CDF" w:rsidP="008D2CDF">
      <w:pPr>
        <w:spacing w:before="60" w:after="0" w:line="276" w:lineRule="auto"/>
        <w:ind w:firstLine="562"/>
        <w:jc w:val="both"/>
        <w:rPr>
          <w:b/>
          <w:i/>
          <w:iCs/>
          <w:szCs w:val="26"/>
        </w:rPr>
      </w:pPr>
      <w:r w:rsidRPr="007A296F">
        <w:rPr>
          <w:b/>
        </w:rPr>
        <w:t xml:space="preserve">1. 2026 production and business plan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563"/>
        <w:gridCol w:w="1515"/>
        <w:gridCol w:w="1485"/>
      </w:tblGrid>
      <w:tr w:rsidR="0076142E" w:rsidRPr="007A296F" w14:paraId="68E751CA"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281C3D71" w14:textId="77777777" w:rsidR="00251C7C" w:rsidRPr="007A296F" w:rsidRDefault="00251C7C" w:rsidP="00DD5CE3">
            <w:pPr>
              <w:spacing w:before="40" w:after="40" w:line="360" w:lineRule="exact"/>
              <w:jc w:val="center"/>
              <w:rPr>
                <w:b/>
                <w:sz w:val="24"/>
                <w:szCs w:val="24"/>
              </w:rPr>
            </w:pPr>
            <w:r w:rsidRPr="007A296F">
              <w:rPr>
                <w:b/>
                <w:sz w:val="24"/>
              </w:rPr>
              <w:t>No.</w:t>
            </w:r>
          </w:p>
        </w:tc>
        <w:tc>
          <w:tcPr>
            <w:tcW w:w="5563" w:type="dxa"/>
            <w:tcBorders>
              <w:top w:val="single" w:sz="4" w:space="0" w:color="auto"/>
              <w:left w:val="single" w:sz="4" w:space="0" w:color="auto"/>
              <w:bottom w:val="single" w:sz="4" w:space="0" w:color="auto"/>
              <w:right w:val="single" w:sz="4" w:space="0" w:color="auto"/>
            </w:tcBorders>
            <w:vAlign w:val="center"/>
          </w:tcPr>
          <w:p w14:paraId="5E6DEAC5" w14:textId="77777777" w:rsidR="00251C7C" w:rsidRPr="007A296F" w:rsidRDefault="00251C7C" w:rsidP="00DD5CE3">
            <w:pPr>
              <w:spacing w:before="40" w:after="40" w:line="360" w:lineRule="exact"/>
              <w:jc w:val="center"/>
              <w:rPr>
                <w:b/>
                <w:sz w:val="24"/>
                <w:szCs w:val="24"/>
              </w:rPr>
            </w:pPr>
            <w:r w:rsidRPr="007A296F">
              <w:rPr>
                <w:b/>
                <w:sz w:val="24"/>
              </w:rPr>
              <w:t>Items</w:t>
            </w:r>
          </w:p>
        </w:tc>
        <w:tc>
          <w:tcPr>
            <w:tcW w:w="1515" w:type="dxa"/>
            <w:tcBorders>
              <w:top w:val="single" w:sz="4" w:space="0" w:color="auto"/>
              <w:left w:val="single" w:sz="4" w:space="0" w:color="auto"/>
              <w:bottom w:val="single" w:sz="4" w:space="0" w:color="auto"/>
              <w:right w:val="single" w:sz="4" w:space="0" w:color="auto"/>
            </w:tcBorders>
            <w:vAlign w:val="center"/>
          </w:tcPr>
          <w:p w14:paraId="39D475C9" w14:textId="16644624" w:rsidR="00251C7C" w:rsidRPr="007A296F" w:rsidRDefault="00251C7C" w:rsidP="00DD5CE3">
            <w:pPr>
              <w:spacing w:before="40" w:after="40" w:line="360" w:lineRule="exact"/>
              <w:jc w:val="center"/>
              <w:rPr>
                <w:b/>
                <w:sz w:val="24"/>
                <w:szCs w:val="24"/>
              </w:rPr>
            </w:pPr>
            <w:r w:rsidRPr="007A296F">
              <w:rPr>
                <w:b/>
                <w:sz w:val="24"/>
              </w:rPr>
              <w:t>2026 plan</w:t>
            </w:r>
          </w:p>
        </w:tc>
        <w:tc>
          <w:tcPr>
            <w:tcW w:w="1485" w:type="dxa"/>
            <w:tcBorders>
              <w:top w:val="single" w:sz="4" w:space="0" w:color="auto"/>
              <w:left w:val="single" w:sz="4" w:space="0" w:color="auto"/>
              <w:bottom w:val="single" w:sz="4" w:space="0" w:color="auto"/>
              <w:right w:val="single" w:sz="4" w:space="0" w:color="auto"/>
            </w:tcBorders>
            <w:vAlign w:val="center"/>
          </w:tcPr>
          <w:p w14:paraId="26B78147" w14:textId="0393D210" w:rsidR="00251C7C" w:rsidRPr="007A296F" w:rsidRDefault="00F31DE6" w:rsidP="00DD5CE3">
            <w:pPr>
              <w:spacing w:before="40" w:after="40" w:line="360" w:lineRule="exact"/>
              <w:jc w:val="center"/>
              <w:rPr>
                <w:b/>
                <w:sz w:val="24"/>
                <w:szCs w:val="24"/>
              </w:rPr>
            </w:pPr>
            <w:r w:rsidRPr="007A296F">
              <w:rPr>
                <w:b/>
                <w:sz w:val="24"/>
              </w:rPr>
              <w:t>2025 fulfillment</w:t>
            </w:r>
          </w:p>
        </w:tc>
      </w:tr>
      <w:tr w:rsidR="0076142E" w:rsidRPr="007A296F" w14:paraId="3F18BDC3" w14:textId="77777777" w:rsidTr="00F31DE6">
        <w:trPr>
          <w:trHeight w:val="200"/>
        </w:trPr>
        <w:tc>
          <w:tcPr>
            <w:tcW w:w="646" w:type="dxa"/>
            <w:tcBorders>
              <w:top w:val="single" w:sz="4" w:space="0" w:color="auto"/>
              <w:left w:val="single" w:sz="4" w:space="0" w:color="auto"/>
              <w:bottom w:val="single" w:sz="4" w:space="0" w:color="auto"/>
              <w:right w:val="single" w:sz="4" w:space="0" w:color="auto"/>
            </w:tcBorders>
            <w:vAlign w:val="center"/>
          </w:tcPr>
          <w:p w14:paraId="0D3999CA" w14:textId="77777777" w:rsidR="00251C7C" w:rsidRPr="007A296F" w:rsidRDefault="00251C7C" w:rsidP="00DD5CE3">
            <w:pPr>
              <w:spacing w:before="40" w:after="40" w:line="360" w:lineRule="exact"/>
              <w:jc w:val="center"/>
              <w:rPr>
                <w:bCs/>
                <w:sz w:val="24"/>
                <w:szCs w:val="24"/>
              </w:rPr>
            </w:pPr>
            <w:r w:rsidRPr="007A296F">
              <w:rPr>
                <w:sz w:val="24"/>
              </w:rPr>
              <w:t>1</w:t>
            </w:r>
          </w:p>
        </w:tc>
        <w:tc>
          <w:tcPr>
            <w:tcW w:w="5563" w:type="dxa"/>
            <w:tcBorders>
              <w:top w:val="single" w:sz="4" w:space="0" w:color="auto"/>
              <w:left w:val="single" w:sz="4" w:space="0" w:color="auto"/>
              <w:bottom w:val="single" w:sz="4" w:space="0" w:color="auto"/>
              <w:right w:val="single" w:sz="4" w:space="0" w:color="auto"/>
            </w:tcBorders>
            <w:vAlign w:val="center"/>
          </w:tcPr>
          <w:p w14:paraId="75CD80F8" w14:textId="5E9F7510" w:rsidR="00251C7C" w:rsidRPr="007A296F" w:rsidRDefault="00251C7C" w:rsidP="00DD5CE3">
            <w:pPr>
              <w:spacing w:before="40" w:after="40" w:line="360" w:lineRule="exact"/>
              <w:rPr>
                <w:b/>
                <w:spacing w:val="-2"/>
                <w:sz w:val="24"/>
                <w:szCs w:val="24"/>
              </w:rPr>
            </w:pPr>
            <w:r w:rsidRPr="007A296F">
              <w:rPr>
                <w:b/>
                <w:sz w:val="24"/>
              </w:rPr>
              <w:t xml:space="preserve">Consolidated petroleum sales volume </w:t>
            </w:r>
            <w:r w:rsidRPr="007A296F">
              <w:rPr>
                <w:b/>
                <w:i/>
                <w:iCs/>
                <w:sz w:val="24"/>
              </w:rPr>
              <w:t>(m3, tons)</w:t>
            </w:r>
          </w:p>
        </w:tc>
        <w:tc>
          <w:tcPr>
            <w:tcW w:w="1515" w:type="dxa"/>
            <w:tcBorders>
              <w:top w:val="single" w:sz="4" w:space="0" w:color="auto"/>
              <w:left w:val="single" w:sz="4" w:space="0" w:color="auto"/>
              <w:bottom w:val="single" w:sz="4" w:space="0" w:color="auto"/>
              <w:right w:val="single" w:sz="4" w:space="0" w:color="auto"/>
            </w:tcBorders>
            <w:vAlign w:val="center"/>
          </w:tcPr>
          <w:p w14:paraId="67D998D6" w14:textId="77777777" w:rsidR="00251C7C" w:rsidRPr="007A296F" w:rsidRDefault="00251C7C" w:rsidP="00DD5CE3">
            <w:pPr>
              <w:spacing w:before="40" w:after="40" w:line="360" w:lineRule="exact"/>
              <w:jc w:val="right"/>
              <w:rPr>
                <w:b/>
                <w:sz w:val="24"/>
                <w:szCs w:val="24"/>
              </w:rPr>
            </w:pPr>
            <w:r w:rsidRPr="007A296F">
              <w:rPr>
                <w:b/>
                <w:sz w:val="24"/>
              </w:rPr>
              <w:t>19,442,500</w:t>
            </w:r>
          </w:p>
        </w:tc>
        <w:tc>
          <w:tcPr>
            <w:tcW w:w="1485" w:type="dxa"/>
            <w:tcBorders>
              <w:top w:val="single" w:sz="4" w:space="0" w:color="auto"/>
              <w:left w:val="single" w:sz="4" w:space="0" w:color="auto"/>
              <w:bottom w:val="single" w:sz="4" w:space="0" w:color="auto"/>
              <w:right w:val="single" w:sz="4" w:space="0" w:color="auto"/>
            </w:tcBorders>
            <w:vAlign w:val="center"/>
          </w:tcPr>
          <w:p w14:paraId="21C93591" w14:textId="77777777" w:rsidR="00251C7C" w:rsidRPr="007A296F" w:rsidRDefault="00251C7C" w:rsidP="00DD5CE3">
            <w:pPr>
              <w:spacing w:before="40" w:after="40" w:line="360" w:lineRule="exact"/>
              <w:jc w:val="right"/>
              <w:rPr>
                <w:b/>
                <w:sz w:val="24"/>
                <w:szCs w:val="24"/>
              </w:rPr>
            </w:pPr>
            <w:r w:rsidRPr="007A296F">
              <w:rPr>
                <w:b/>
                <w:sz w:val="24"/>
              </w:rPr>
              <w:t>110.0%</w:t>
            </w:r>
          </w:p>
        </w:tc>
      </w:tr>
      <w:tr w:rsidR="0076142E" w:rsidRPr="007A296F" w14:paraId="013DB6DF"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3334C39F" w14:textId="77777777" w:rsidR="00251C7C" w:rsidRPr="007A296F" w:rsidRDefault="00251C7C" w:rsidP="00DD5CE3">
            <w:pPr>
              <w:spacing w:before="40" w:after="40" w:line="360" w:lineRule="exact"/>
              <w:jc w:val="center"/>
              <w:rPr>
                <w:bCs/>
                <w:sz w:val="24"/>
                <w:szCs w:val="24"/>
              </w:rPr>
            </w:pPr>
          </w:p>
        </w:tc>
        <w:tc>
          <w:tcPr>
            <w:tcW w:w="5563" w:type="dxa"/>
            <w:tcBorders>
              <w:top w:val="single" w:sz="4" w:space="0" w:color="auto"/>
              <w:left w:val="single" w:sz="4" w:space="0" w:color="auto"/>
              <w:bottom w:val="single" w:sz="4" w:space="0" w:color="auto"/>
              <w:right w:val="single" w:sz="4" w:space="0" w:color="auto"/>
            </w:tcBorders>
            <w:vAlign w:val="center"/>
          </w:tcPr>
          <w:p w14:paraId="0A41862E" w14:textId="77777777" w:rsidR="00251C7C" w:rsidRPr="00F60B85" w:rsidRDefault="00251C7C" w:rsidP="00DD5CE3">
            <w:pPr>
              <w:spacing w:before="40" w:after="40" w:line="360" w:lineRule="exact"/>
              <w:rPr>
                <w:bCs/>
                <w:i/>
                <w:iCs/>
                <w:sz w:val="24"/>
                <w:szCs w:val="24"/>
              </w:rPr>
            </w:pPr>
            <w:r w:rsidRPr="00F60B85">
              <w:rPr>
                <w:i/>
                <w:sz w:val="24"/>
              </w:rPr>
              <w:t>In which: Parent Company</w:t>
            </w:r>
          </w:p>
        </w:tc>
        <w:tc>
          <w:tcPr>
            <w:tcW w:w="1515" w:type="dxa"/>
            <w:tcBorders>
              <w:top w:val="single" w:sz="4" w:space="0" w:color="auto"/>
              <w:left w:val="single" w:sz="4" w:space="0" w:color="auto"/>
              <w:bottom w:val="single" w:sz="4" w:space="0" w:color="auto"/>
              <w:right w:val="single" w:sz="4" w:space="0" w:color="auto"/>
            </w:tcBorders>
            <w:vAlign w:val="center"/>
          </w:tcPr>
          <w:p w14:paraId="0EC536E8" w14:textId="77777777" w:rsidR="00251C7C" w:rsidRPr="00F60B85" w:rsidRDefault="00251C7C" w:rsidP="00DD5CE3">
            <w:pPr>
              <w:spacing w:before="40" w:after="40" w:line="360" w:lineRule="exact"/>
              <w:jc w:val="right"/>
              <w:rPr>
                <w:bCs/>
                <w:sz w:val="24"/>
                <w:szCs w:val="24"/>
              </w:rPr>
            </w:pPr>
            <w:r w:rsidRPr="00F60B85">
              <w:rPr>
                <w:sz w:val="24"/>
              </w:rPr>
              <w:t>12,680,000</w:t>
            </w:r>
          </w:p>
        </w:tc>
        <w:tc>
          <w:tcPr>
            <w:tcW w:w="1485" w:type="dxa"/>
            <w:tcBorders>
              <w:top w:val="single" w:sz="4" w:space="0" w:color="auto"/>
              <w:left w:val="single" w:sz="4" w:space="0" w:color="auto"/>
              <w:bottom w:val="single" w:sz="4" w:space="0" w:color="auto"/>
              <w:right w:val="single" w:sz="4" w:space="0" w:color="auto"/>
            </w:tcBorders>
            <w:vAlign w:val="center"/>
          </w:tcPr>
          <w:p w14:paraId="3ED80B7E" w14:textId="77777777" w:rsidR="00251C7C" w:rsidRPr="00F60B85" w:rsidRDefault="00251C7C" w:rsidP="00DD5CE3">
            <w:pPr>
              <w:spacing w:before="40" w:after="40" w:line="360" w:lineRule="exact"/>
              <w:jc w:val="right"/>
              <w:rPr>
                <w:bCs/>
                <w:sz w:val="24"/>
                <w:szCs w:val="24"/>
              </w:rPr>
            </w:pPr>
            <w:r w:rsidRPr="00F60B85">
              <w:rPr>
                <w:sz w:val="24"/>
              </w:rPr>
              <w:t>106.4%</w:t>
            </w:r>
          </w:p>
        </w:tc>
      </w:tr>
      <w:tr w:rsidR="0076142E" w:rsidRPr="007A296F" w14:paraId="505F3C4D"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379D312D" w14:textId="77777777" w:rsidR="00251C7C" w:rsidRPr="007A296F" w:rsidRDefault="00251C7C" w:rsidP="00DD5CE3">
            <w:pPr>
              <w:spacing w:before="40" w:after="40" w:line="360" w:lineRule="exact"/>
              <w:jc w:val="center"/>
              <w:rPr>
                <w:bCs/>
                <w:sz w:val="24"/>
                <w:szCs w:val="24"/>
              </w:rPr>
            </w:pPr>
            <w:r w:rsidRPr="007A296F">
              <w:rPr>
                <w:sz w:val="24"/>
              </w:rPr>
              <w:t>2</w:t>
            </w:r>
          </w:p>
        </w:tc>
        <w:tc>
          <w:tcPr>
            <w:tcW w:w="5563" w:type="dxa"/>
            <w:tcBorders>
              <w:top w:val="single" w:sz="4" w:space="0" w:color="auto"/>
              <w:left w:val="single" w:sz="4" w:space="0" w:color="auto"/>
              <w:bottom w:val="single" w:sz="4" w:space="0" w:color="auto"/>
              <w:right w:val="single" w:sz="4" w:space="0" w:color="auto"/>
            </w:tcBorders>
            <w:vAlign w:val="center"/>
          </w:tcPr>
          <w:p w14:paraId="24744C9D" w14:textId="77777777" w:rsidR="00251C7C" w:rsidRPr="007A296F" w:rsidRDefault="00251C7C" w:rsidP="00DD5CE3">
            <w:pPr>
              <w:spacing w:before="40" w:after="40" w:line="360" w:lineRule="exact"/>
              <w:rPr>
                <w:b/>
                <w:sz w:val="24"/>
                <w:szCs w:val="24"/>
              </w:rPr>
            </w:pPr>
            <w:r w:rsidRPr="007A296F">
              <w:rPr>
                <w:b/>
                <w:sz w:val="24"/>
              </w:rPr>
              <w:t>Consolidated revenue (VND bill.)</w:t>
            </w:r>
          </w:p>
        </w:tc>
        <w:tc>
          <w:tcPr>
            <w:tcW w:w="1515" w:type="dxa"/>
            <w:tcBorders>
              <w:top w:val="single" w:sz="4" w:space="0" w:color="auto"/>
              <w:left w:val="single" w:sz="4" w:space="0" w:color="auto"/>
              <w:bottom w:val="single" w:sz="4" w:space="0" w:color="auto"/>
              <w:right w:val="single" w:sz="4" w:space="0" w:color="auto"/>
            </w:tcBorders>
            <w:vAlign w:val="center"/>
          </w:tcPr>
          <w:p w14:paraId="1CABE9FF" w14:textId="77777777" w:rsidR="00251C7C" w:rsidRPr="007A296F" w:rsidRDefault="00251C7C" w:rsidP="00DD5CE3">
            <w:pPr>
              <w:spacing w:before="40" w:after="40" w:line="360" w:lineRule="exact"/>
              <w:jc w:val="right"/>
              <w:rPr>
                <w:b/>
                <w:sz w:val="24"/>
                <w:szCs w:val="24"/>
              </w:rPr>
            </w:pPr>
            <w:r w:rsidRPr="007A296F">
              <w:rPr>
                <w:b/>
                <w:sz w:val="24"/>
              </w:rPr>
              <w:t>315,000</w:t>
            </w:r>
          </w:p>
        </w:tc>
        <w:tc>
          <w:tcPr>
            <w:tcW w:w="1485" w:type="dxa"/>
            <w:tcBorders>
              <w:top w:val="single" w:sz="4" w:space="0" w:color="auto"/>
              <w:left w:val="single" w:sz="4" w:space="0" w:color="auto"/>
              <w:bottom w:val="single" w:sz="4" w:space="0" w:color="auto"/>
              <w:right w:val="single" w:sz="4" w:space="0" w:color="auto"/>
            </w:tcBorders>
            <w:vAlign w:val="center"/>
          </w:tcPr>
          <w:p w14:paraId="0A3C8FA4" w14:textId="77777777" w:rsidR="00251C7C" w:rsidRPr="007A296F" w:rsidRDefault="00251C7C" w:rsidP="00DD5CE3">
            <w:pPr>
              <w:spacing w:before="40" w:after="40" w:line="360" w:lineRule="exact"/>
              <w:jc w:val="right"/>
              <w:rPr>
                <w:b/>
                <w:sz w:val="24"/>
                <w:szCs w:val="24"/>
              </w:rPr>
            </w:pPr>
            <w:r w:rsidRPr="007A296F">
              <w:rPr>
                <w:b/>
                <w:sz w:val="24"/>
              </w:rPr>
              <w:t>102%</w:t>
            </w:r>
          </w:p>
        </w:tc>
      </w:tr>
      <w:tr w:rsidR="0076142E" w:rsidRPr="007A296F" w14:paraId="21ED3D0D"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709938E0" w14:textId="77777777" w:rsidR="00251C7C" w:rsidRPr="007A296F" w:rsidRDefault="00251C7C" w:rsidP="00DD5CE3">
            <w:pPr>
              <w:spacing w:before="40" w:after="40" w:line="360" w:lineRule="exact"/>
              <w:jc w:val="center"/>
              <w:rPr>
                <w:bCs/>
                <w:sz w:val="24"/>
                <w:szCs w:val="24"/>
              </w:rPr>
            </w:pPr>
          </w:p>
        </w:tc>
        <w:tc>
          <w:tcPr>
            <w:tcW w:w="5563" w:type="dxa"/>
            <w:tcBorders>
              <w:top w:val="single" w:sz="4" w:space="0" w:color="auto"/>
              <w:left w:val="single" w:sz="4" w:space="0" w:color="auto"/>
              <w:bottom w:val="single" w:sz="4" w:space="0" w:color="auto"/>
              <w:right w:val="single" w:sz="4" w:space="0" w:color="auto"/>
            </w:tcBorders>
            <w:vAlign w:val="center"/>
          </w:tcPr>
          <w:p w14:paraId="4127E096" w14:textId="77777777" w:rsidR="00251C7C" w:rsidRPr="00F60B85" w:rsidRDefault="00251C7C" w:rsidP="00DD5CE3">
            <w:pPr>
              <w:spacing w:before="40" w:after="40" w:line="360" w:lineRule="exact"/>
              <w:rPr>
                <w:bCs/>
                <w:i/>
                <w:iCs/>
                <w:sz w:val="24"/>
                <w:szCs w:val="24"/>
              </w:rPr>
            </w:pPr>
            <w:r w:rsidRPr="00F60B85">
              <w:rPr>
                <w:i/>
                <w:sz w:val="24"/>
              </w:rPr>
              <w:t>In which: Parent Company</w:t>
            </w:r>
          </w:p>
        </w:tc>
        <w:tc>
          <w:tcPr>
            <w:tcW w:w="1515" w:type="dxa"/>
            <w:tcBorders>
              <w:top w:val="single" w:sz="4" w:space="0" w:color="auto"/>
              <w:left w:val="single" w:sz="4" w:space="0" w:color="auto"/>
              <w:bottom w:val="single" w:sz="4" w:space="0" w:color="auto"/>
              <w:right w:val="single" w:sz="4" w:space="0" w:color="auto"/>
            </w:tcBorders>
            <w:vAlign w:val="center"/>
          </w:tcPr>
          <w:p w14:paraId="31DFB408" w14:textId="77777777" w:rsidR="00251C7C" w:rsidRPr="00F60B85" w:rsidRDefault="00251C7C" w:rsidP="00DD5CE3">
            <w:pPr>
              <w:spacing w:before="40" w:after="40" w:line="360" w:lineRule="exact"/>
              <w:jc w:val="right"/>
              <w:rPr>
                <w:bCs/>
                <w:sz w:val="24"/>
                <w:szCs w:val="24"/>
              </w:rPr>
            </w:pPr>
            <w:r w:rsidRPr="00F60B85">
              <w:rPr>
                <w:sz w:val="24"/>
              </w:rPr>
              <w:t>186,800</w:t>
            </w:r>
          </w:p>
        </w:tc>
        <w:tc>
          <w:tcPr>
            <w:tcW w:w="1485" w:type="dxa"/>
            <w:tcBorders>
              <w:top w:val="single" w:sz="4" w:space="0" w:color="auto"/>
              <w:left w:val="single" w:sz="4" w:space="0" w:color="auto"/>
              <w:bottom w:val="single" w:sz="4" w:space="0" w:color="auto"/>
              <w:right w:val="single" w:sz="4" w:space="0" w:color="auto"/>
            </w:tcBorders>
            <w:vAlign w:val="center"/>
          </w:tcPr>
          <w:p w14:paraId="6E0A7311" w14:textId="77777777" w:rsidR="00251C7C" w:rsidRPr="00F60B85" w:rsidRDefault="00251C7C" w:rsidP="00DD5CE3">
            <w:pPr>
              <w:spacing w:before="40" w:after="40" w:line="360" w:lineRule="exact"/>
              <w:jc w:val="right"/>
              <w:rPr>
                <w:bCs/>
                <w:sz w:val="24"/>
                <w:szCs w:val="24"/>
              </w:rPr>
            </w:pPr>
            <w:r w:rsidRPr="00F60B85">
              <w:rPr>
                <w:sz w:val="24"/>
              </w:rPr>
              <w:t>102%</w:t>
            </w:r>
          </w:p>
        </w:tc>
      </w:tr>
      <w:tr w:rsidR="0076142E" w:rsidRPr="007A296F" w14:paraId="1BD536EE"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254BE887" w14:textId="77777777" w:rsidR="00251C7C" w:rsidRPr="007A296F" w:rsidRDefault="00251C7C" w:rsidP="00DD5CE3">
            <w:pPr>
              <w:spacing w:before="40" w:after="40" w:line="360" w:lineRule="exact"/>
              <w:jc w:val="center"/>
              <w:rPr>
                <w:bCs/>
                <w:sz w:val="24"/>
                <w:szCs w:val="24"/>
              </w:rPr>
            </w:pPr>
            <w:r w:rsidRPr="007A296F">
              <w:rPr>
                <w:sz w:val="24"/>
              </w:rPr>
              <w:t>3</w:t>
            </w:r>
          </w:p>
        </w:tc>
        <w:tc>
          <w:tcPr>
            <w:tcW w:w="5563" w:type="dxa"/>
            <w:tcBorders>
              <w:top w:val="single" w:sz="4" w:space="0" w:color="auto"/>
              <w:left w:val="single" w:sz="4" w:space="0" w:color="auto"/>
              <w:bottom w:val="single" w:sz="4" w:space="0" w:color="auto"/>
              <w:right w:val="single" w:sz="4" w:space="0" w:color="auto"/>
            </w:tcBorders>
            <w:vAlign w:val="center"/>
          </w:tcPr>
          <w:p w14:paraId="6C243D7C" w14:textId="77777777" w:rsidR="00251C7C" w:rsidRPr="007A296F" w:rsidRDefault="00251C7C" w:rsidP="00DD5CE3">
            <w:pPr>
              <w:spacing w:before="40" w:after="40" w:line="360" w:lineRule="exact"/>
              <w:rPr>
                <w:b/>
                <w:sz w:val="24"/>
                <w:szCs w:val="24"/>
              </w:rPr>
            </w:pPr>
            <w:r w:rsidRPr="007A296F">
              <w:rPr>
                <w:b/>
                <w:sz w:val="24"/>
              </w:rPr>
              <w:t>Consolidated profit before tax (VND bill.)</w:t>
            </w:r>
          </w:p>
        </w:tc>
        <w:tc>
          <w:tcPr>
            <w:tcW w:w="1515" w:type="dxa"/>
            <w:tcBorders>
              <w:top w:val="single" w:sz="4" w:space="0" w:color="auto"/>
              <w:left w:val="single" w:sz="4" w:space="0" w:color="auto"/>
              <w:bottom w:val="single" w:sz="4" w:space="0" w:color="auto"/>
              <w:right w:val="single" w:sz="4" w:space="0" w:color="auto"/>
            </w:tcBorders>
            <w:vAlign w:val="center"/>
          </w:tcPr>
          <w:p w14:paraId="4557B1F6" w14:textId="77777777" w:rsidR="00251C7C" w:rsidRPr="007A296F" w:rsidRDefault="00251C7C" w:rsidP="00DD5CE3">
            <w:pPr>
              <w:spacing w:before="40" w:after="40" w:line="360" w:lineRule="exact"/>
              <w:jc w:val="right"/>
              <w:rPr>
                <w:b/>
                <w:sz w:val="24"/>
                <w:szCs w:val="24"/>
              </w:rPr>
            </w:pPr>
            <w:r w:rsidRPr="007A296F">
              <w:rPr>
                <w:b/>
                <w:sz w:val="24"/>
              </w:rPr>
              <w:t>3,380</w:t>
            </w:r>
          </w:p>
        </w:tc>
        <w:tc>
          <w:tcPr>
            <w:tcW w:w="1485" w:type="dxa"/>
            <w:tcBorders>
              <w:top w:val="single" w:sz="4" w:space="0" w:color="auto"/>
              <w:left w:val="single" w:sz="4" w:space="0" w:color="auto"/>
              <w:bottom w:val="single" w:sz="4" w:space="0" w:color="auto"/>
              <w:right w:val="single" w:sz="4" w:space="0" w:color="auto"/>
            </w:tcBorders>
            <w:vAlign w:val="center"/>
          </w:tcPr>
          <w:p w14:paraId="50530435" w14:textId="77777777" w:rsidR="00251C7C" w:rsidRPr="007A296F" w:rsidRDefault="00251C7C" w:rsidP="00DD5CE3">
            <w:pPr>
              <w:spacing w:before="40" w:after="40" w:line="360" w:lineRule="exact"/>
              <w:jc w:val="right"/>
              <w:rPr>
                <w:b/>
                <w:sz w:val="24"/>
                <w:szCs w:val="24"/>
              </w:rPr>
            </w:pPr>
            <w:r w:rsidRPr="007A296F">
              <w:rPr>
                <w:b/>
                <w:sz w:val="24"/>
              </w:rPr>
              <w:t>93%</w:t>
            </w:r>
          </w:p>
        </w:tc>
      </w:tr>
      <w:tr w:rsidR="0076142E" w:rsidRPr="007A296F" w14:paraId="62E2816B"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5DA8FB7C" w14:textId="77777777" w:rsidR="00251C7C" w:rsidRPr="007A296F" w:rsidRDefault="00251C7C" w:rsidP="00DD5CE3">
            <w:pPr>
              <w:spacing w:before="40" w:after="40" w:line="360" w:lineRule="exact"/>
              <w:jc w:val="center"/>
              <w:rPr>
                <w:bCs/>
                <w:sz w:val="24"/>
                <w:szCs w:val="24"/>
              </w:rPr>
            </w:pPr>
          </w:p>
        </w:tc>
        <w:tc>
          <w:tcPr>
            <w:tcW w:w="5563" w:type="dxa"/>
            <w:tcBorders>
              <w:top w:val="single" w:sz="4" w:space="0" w:color="auto"/>
              <w:left w:val="single" w:sz="4" w:space="0" w:color="auto"/>
              <w:bottom w:val="single" w:sz="4" w:space="0" w:color="auto"/>
              <w:right w:val="single" w:sz="4" w:space="0" w:color="auto"/>
            </w:tcBorders>
            <w:vAlign w:val="center"/>
          </w:tcPr>
          <w:p w14:paraId="36C4B8A3" w14:textId="77777777" w:rsidR="00251C7C" w:rsidRPr="00F60B85" w:rsidRDefault="00251C7C" w:rsidP="00DD5CE3">
            <w:pPr>
              <w:spacing w:before="40" w:after="40" w:line="360" w:lineRule="exact"/>
              <w:rPr>
                <w:bCs/>
                <w:i/>
                <w:iCs/>
                <w:sz w:val="24"/>
                <w:szCs w:val="24"/>
              </w:rPr>
            </w:pPr>
            <w:r w:rsidRPr="00F60B85">
              <w:rPr>
                <w:i/>
                <w:sz w:val="24"/>
              </w:rPr>
              <w:t>In which: Parent Company</w:t>
            </w:r>
          </w:p>
        </w:tc>
        <w:tc>
          <w:tcPr>
            <w:tcW w:w="1515" w:type="dxa"/>
            <w:tcBorders>
              <w:top w:val="single" w:sz="4" w:space="0" w:color="auto"/>
              <w:left w:val="single" w:sz="4" w:space="0" w:color="auto"/>
              <w:bottom w:val="single" w:sz="4" w:space="0" w:color="auto"/>
              <w:right w:val="single" w:sz="4" w:space="0" w:color="auto"/>
            </w:tcBorders>
            <w:vAlign w:val="center"/>
          </w:tcPr>
          <w:p w14:paraId="33EC10F8" w14:textId="77777777" w:rsidR="00251C7C" w:rsidRPr="00F60B85" w:rsidRDefault="00251C7C" w:rsidP="00DD5CE3">
            <w:pPr>
              <w:spacing w:before="40" w:after="40" w:line="360" w:lineRule="exact"/>
              <w:jc w:val="right"/>
              <w:rPr>
                <w:bCs/>
                <w:sz w:val="24"/>
                <w:szCs w:val="24"/>
              </w:rPr>
            </w:pPr>
            <w:r w:rsidRPr="00F60B85">
              <w:rPr>
                <w:sz w:val="24"/>
              </w:rPr>
              <w:t>2,020</w:t>
            </w:r>
          </w:p>
        </w:tc>
        <w:tc>
          <w:tcPr>
            <w:tcW w:w="1485" w:type="dxa"/>
            <w:tcBorders>
              <w:top w:val="single" w:sz="4" w:space="0" w:color="auto"/>
              <w:left w:val="single" w:sz="4" w:space="0" w:color="auto"/>
              <w:bottom w:val="single" w:sz="4" w:space="0" w:color="auto"/>
              <w:right w:val="single" w:sz="4" w:space="0" w:color="auto"/>
            </w:tcBorders>
            <w:vAlign w:val="center"/>
          </w:tcPr>
          <w:p w14:paraId="0253C613" w14:textId="77777777" w:rsidR="00251C7C" w:rsidRPr="00F60B85" w:rsidRDefault="00251C7C" w:rsidP="00DD5CE3">
            <w:pPr>
              <w:spacing w:before="40" w:after="40" w:line="360" w:lineRule="exact"/>
              <w:jc w:val="right"/>
              <w:rPr>
                <w:bCs/>
                <w:sz w:val="24"/>
                <w:szCs w:val="24"/>
              </w:rPr>
            </w:pPr>
            <w:r w:rsidRPr="00F60B85">
              <w:rPr>
                <w:sz w:val="24"/>
              </w:rPr>
              <w:t>98%</w:t>
            </w:r>
          </w:p>
        </w:tc>
      </w:tr>
      <w:tr w:rsidR="0076142E" w:rsidRPr="007A296F" w14:paraId="13E53C43" w14:textId="77777777" w:rsidTr="00F31DE6">
        <w:tc>
          <w:tcPr>
            <w:tcW w:w="646" w:type="dxa"/>
            <w:tcBorders>
              <w:top w:val="single" w:sz="4" w:space="0" w:color="auto"/>
              <w:left w:val="single" w:sz="4" w:space="0" w:color="auto"/>
              <w:bottom w:val="single" w:sz="4" w:space="0" w:color="auto"/>
              <w:right w:val="single" w:sz="4" w:space="0" w:color="auto"/>
            </w:tcBorders>
            <w:vAlign w:val="center"/>
          </w:tcPr>
          <w:p w14:paraId="268BE0C2" w14:textId="77777777" w:rsidR="00251C7C" w:rsidRPr="007A296F" w:rsidRDefault="00251C7C" w:rsidP="00DD5CE3">
            <w:pPr>
              <w:spacing w:before="40" w:after="40" w:line="360" w:lineRule="exact"/>
              <w:jc w:val="center"/>
              <w:rPr>
                <w:bCs/>
                <w:sz w:val="24"/>
                <w:szCs w:val="24"/>
              </w:rPr>
            </w:pPr>
            <w:r w:rsidRPr="007A296F">
              <w:rPr>
                <w:sz w:val="24"/>
              </w:rPr>
              <w:t>4</w:t>
            </w:r>
          </w:p>
        </w:tc>
        <w:tc>
          <w:tcPr>
            <w:tcW w:w="5563" w:type="dxa"/>
            <w:tcBorders>
              <w:top w:val="single" w:sz="4" w:space="0" w:color="auto"/>
              <w:left w:val="single" w:sz="4" w:space="0" w:color="auto"/>
              <w:bottom w:val="single" w:sz="4" w:space="0" w:color="auto"/>
              <w:right w:val="single" w:sz="4" w:space="0" w:color="auto"/>
            </w:tcBorders>
            <w:vAlign w:val="center"/>
          </w:tcPr>
          <w:p w14:paraId="5F3A38C2" w14:textId="22025953" w:rsidR="00251C7C" w:rsidRPr="007A296F" w:rsidRDefault="00251C7C" w:rsidP="00DD5CE3">
            <w:pPr>
              <w:spacing w:before="40" w:after="40" w:line="360" w:lineRule="exact"/>
              <w:rPr>
                <w:b/>
                <w:sz w:val="24"/>
                <w:szCs w:val="24"/>
              </w:rPr>
            </w:pPr>
            <w:r w:rsidRPr="007A296F">
              <w:rPr>
                <w:b/>
                <w:sz w:val="24"/>
              </w:rPr>
              <w:t>Expected dividend distribution (%)</w:t>
            </w:r>
          </w:p>
        </w:tc>
        <w:tc>
          <w:tcPr>
            <w:tcW w:w="1515" w:type="dxa"/>
            <w:tcBorders>
              <w:top w:val="single" w:sz="4" w:space="0" w:color="auto"/>
              <w:left w:val="single" w:sz="4" w:space="0" w:color="auto"/>
              <w:bottom w:val="single" w:sz="4" w:space="0" w:color="auto"/>
              <w:right w:val="single" w:sz="4" w:space="0" w:color="auto"/>
            </w:tcBorders>
            <w:vAlign w:val="center"/>
          </w:tcPr>
          <w:p w14:paraId="57A052DA" w14:textId="77777777" w:rsidR="00251C7C" w:rsidRPr="007A296F" w:rsidRDefault="00251C7C" w:rsidP="00DD5CE3">
            <w:pPr>
              <w:spacing w:before="40" w:after="40" w:line="360" w:lineRule="exact"/>
              <w:jc w:val="right"/>
              <w:rPr>
                <w:b/>
                <w:sz w:val="24"/>
                <w:szCs w:val="24"/>
              </w:rPr>
            </w:pPr>
            <w:r w:rsidRPr="007A296F">
              <w:rPr>
                <w:b/>
                <w:sz w:val="24"/>
              </w:rPr>
              <w:t>10</w:t>
            </w:r>
          </w:p>
        </w:tc>
        <w:tc>
          <w:tcPr>
            <w:tcW w:w="1485" w:type="dxa"/>
            <w:tcBorders>
              <w:top w:val="single" w:sz="4" w:space="0" w:color="auto"/>
              <w:left w:val="single" w:sz="4" w:space="0" w:color="auto"/>
              <w:bottom w:val="single" w:sz="4" w:space="0" w:color="auto"/>
              <w:right w:val="single" w:sz="4" w:space="0" w:color="auto"/>
            </w:tcBorders>
            <w:vAlign w:val="center"/>
          </w:tcPr>
          <w:p w14:paraId="3C975002" w14:textId="529CABA1" w:rsidR="00251C7C" w:rsidRPr="007A296F" w:rsidRDefault="00C71D93" w:rsidP="00DD5CE3">
            <w:pPr>
              <w:spacing w:before="40" w:after="40" w:line="360" w:lineRule="exact"/>
              <w:jc w:val="right"/>
              <w:rPr>
                <w:b/>
                <w:sz w:val="24"/>
                <w:szCs w:val="24"/>
              </w:rPr>
            </w:pPr>
            <w:r w:rsidRPr="007A296F">
              <w:rPr>
                <w:b/>
                <w:color w:val="EE0000"/>
                <w:sz w:val="24"/>
              </w:rPr>
              <w:t xml:space="preserve">83% </w:t>
            </w:r>
          </w:p>
        </w:tc>
      </w:tr>
    </w:tbl>
    <w:p w14:paraId="77F37D34" w14:textId="78F7DE70" w:rsidR="00850C57" w:rsidRPr="007A296F" w:rsidRDefault="008D2CDF" w:rsidP="005143E3">
      <w:pPr>
        <w:spacing w:before="60" w:after="60" w:line="360" w:lineRule="exact"/>
        <w:ind w:firstLine="561"/>
        <w:jc w:val="both"/>
        <w:rPr>
          <w:b/>
          <w:szCs w:val="26"/>
        </w:rPr>
      </w:pPr>
      <w:r w:rsidRPr="007A296F">
        <w:rPr>
          <w:b/>
        </w:rPr>
        <w:t>2. The 2026 operating orientation of the BOM</w:t>
      </w:r>
    </w:p>
    <w:p w14:paraId="64FDCEC4" w14:textId="466E5FBC" w:rsidR="00C156AA" w:rsidRPr="007A296F" w:rsidRDefault="00B07742" w:rsidP="005143E3">
      <w:pPr>
        <w:spacing w:before="60" w:after="60" w:line="360" w:lineRule="exact"/>
        <w:ind w:firstLine="561"/>
        <w:jc w:val="both"/>
        <w:rPr>
          <w:szCs w:val="26"/>
        </w:rPr>
      </w:pPr>
      <w:r w:rsidRPr="007A296F">
        <w:lastRenderedPageBreak/>
        <w:t>In 2026, in the context of ongoing global, regional, and domestic uncertainties, the Petrolimex Board of Management has identified the strategic focus on renewing development thinking and governance method, strengthening Petrolimex’s key role in national energy security, and leading the Group’s transformation through three pillars, namely digital transformation, green transformation, and organizational-cultural transformation. At the same time, the BOM aims to enhance governance quality, capital efficiency, competitiveness, and sustainable development. Accordingly, the BOM has set out the key orientation priorities as follows:</w:t>
      </w:r>
    </w:p>
    <w:p w14:paraId="77F22EE2" w14:textId="18985C3D" w:rsidR="00C156AA" w:rsidRPr="007A296F" w:rsidRDefault="00C156AA" w:rsidP="00756C86">
      <w:pPr>
        <w:spacing w:before="60" w:after="60" w:line="340" w:lineRule="exact"/>
        <w:ind w:firstLine="562"/>
        <w:jc w:val="both"/>
        <w:rPr>
          <w:szCs w:val="26"/>
        </w:rPr>
      </w:pPr>
      <w:r w:rsidRPr="007A296F">
        <w:rPr>
          <w:b/>
          <w:bCs/>
        </w:rPr>
        <w:t>First,</w:t>
      </w:r>
      <w:r w:rsidRPr="007A296F">
        <w:t xml:space="preserve"> affirming Petrolimex’s role as a strategic state-owned enterprise in ensuring stable petroleum supply source for the economy Efforts shall focus on strengthening system autonomy, resilience to energy market fluctuations, and supply chain risks; optimizing sourcing, storage, logistics, and infrastructure investment; and maintaining the role of market leadership for Petrolimex while outperforming the political and commercial responsibilities.</w:t>
      </w:r>
    </w:p>
    <w:p w14:paraId="20FD93B5" w14:textId="17FFA497" w:rsidR="00C156AA" w:rsidRPr="007A296F" w:rsidRDefault="00C156AA" w:rsidP="00756C86">
      <w:pPr>
        <w:spacing w:before="60" w:after="60" w:line="340" w:lineRule="exact"/>
        <w:ind w:firstLine="562"/>
        <w:jc w:val="both"/>
        <w:rPr>
          <w:szCs w:val="26"/>
        </w:rPr>
      </w:pPr>
      <w:r w:rsidRPr="007A296F">
        <w:rPr>
          <w:b/>
          <w:bCs/>
        </w:rPr>
        <w:t>Second</w:t>
      </w:r>
      <w:r w:rsidRPr="007A296F">
        <w:t xml:space="preserve">, orienting development of Petrolimex towards modern energy group model, well adapted with the energy transformation </w:t>
      </w:r>
      <w:r w:rsidR="005D6FDA" w:rsidRPr="007A296F">
        <w:t>trend</w:t>
      </w:r>
      <w:r w:rsidRPr="007A296F">
        <w:t xml:space="preserve"> and sustainable development requirements. The BOM shall review and refine the Group’s long-term development strategy to be well matched with its strengths and resources, while studying and preparing for deeper engagement in clean energy, environmentally friendly fuels, and new business models to expand growth potential and competitiveness.</w:t>
      </w:r>
    </w:p>
    <w:p w14:paraId="3B18471E" w14:textId="46D01665" w:rsidR="00C156AA" w:rsidRPr="007A296F" w:rsidRDefault="00C156AA" w:rsidP="00756C86">
      <w:pPr>
        <w:spacing w:before="60" w:after="60" w:line="340" w:lineRule="exact"/>
        <w:ind w:firstLine="562"/>
        <w:jc w:val="both"/>
        <w:rPr>
          <w:szCs w:val="26"/>
        </w:rPr>
      </w:pPr>
      <w:r w:rsidRPr="007A296F">
        <w:rPr>
          <w:b/>
          <w:bCs/>
        </w:rPr>
        <w:t>Third,</w:t>
      </w:r>
      <w:r w:rsidRPr="007A296F">
        <w:t xml:space="preserve"> determining the digital transformation as a core pillar of modern governance and platform for other transformation within the Group. The Board of Management shall focus on accelerating the synchronous digital transformation across processes and operations, building a data-driven enterprise on technology and artificial intelligence; prioritizing data infrastructure, system integration, and the application of new technologies in management, business, market forecasting, customer management, and supply chain operations to improve operational efficiency, transparency, and customer service quality.</w:t>
      </w:r>
    </w:p>
    <w:p w14:paraId="2D6D24DD" w14:textId="3786AA05" w:rsidR="00C156AA" w:rsidRPr="00F60B85" w:rsidRDefault="00C156AA" w:rsidP="00756C86">
      <w:pPr>
        <w:spacing w:before="60" w:after="60" w:line="340" w:lineRule="exact"/>
        <w:ind w:firstLine="562"/>
        <w:jc w:val="both"/>
        <w:rPr>
          <w:szCs w:val="26"/>
        </w:rPr>
      </w:pPr>
      <w:r w:rsidRPr="007A296F">
        <w:rPr>
          <w:b/>
          <w:bCs/>
        </w:rPr>
        <w:t>Fourth</w:t>
      </w:r>
      <w:r w:rsidRPr="007A296F">
        <w:t xml:space="preserve">, continuing to enhance corporate governance quality towards modern, transparency and professional manner, specifying the responsibilities and </w:t>
      </w:r>
      <w:r w:rsidR="00960866" w:rsidRPr="007A296F">
        <w:t>proactive risk control</w:t>
      </w:r>
      <w:r w:rsidRPr="00F60B85">
        <w:t xml:space="preserve">, oversight and management. The BOM shall direct the review and completion of governance regulations and procedures of the Parent Company and entire system; enhance disciplines, internal controls, compliance management and implementation monitoring; and early identification of risks related to market, investment, finance, legal, safety, and environment to ensure the Group’s safe, stable, effective and compliant operations. </w:t>
      </w:r>
    </w:p>
    <w:p w14:paraId="4F2BF964" w14:textId="03084E0A" w:rsidR="00C156AA" w:rsidRPr="007A296F" w:rsidRDefault="00C156AA" w:rsidP="00756C86">
      <w:pPr>
        <w:spacing w:before="60" w:after="60" w:line="340" w:lineRule="exact"/>
        <w:ind w:firstLine="562"/>
        <w:jc w:val="both"/>
        <w:rPr>
          <w:szCs w:val="26"/>
        </w:rPr>
      </w:pPr>
      <w:r w:rsidRPr="00F60B85">
        <w:rPr>
          <w:b/>
          <w:bCs/>
        </w:rPr>
        <w:t>Fifth</w:t>
      </w:r>
      <w:r w:rsidRPr="00F60B85">
        <w:t>, continuing perfecting the organizational structure and post-restructuring governance quality. 2026 marks the transition from “</w:t>
      </w:r>
      <w:r w:rsidRPr="00F60B85">
        <w:rPr>
          <w:b/>
          <w:bCs/>
        </w:rPr>
        <w:t>lean organization</w:t>
      </w:r>
      <w:r w:rsidRPr="00F60B85">
        <w:t>” to “</w:t>
      </w:r>
      <w:r w:rsidRPr="00F60B85">
        <w:rPr>
          <w:b/>
          <w:bCs/>
        </w:rPr>
        <w:t>enhanced efficiency and performance</w:t>
      </w:r>
      <w:r w:rsidRPr="007A296F">
        <w:t xml:space="preserve">”. The BOM shall focus on refining, perfecting the decentralization mechanism, decentralizing, standardizing processes, increasing </w:t>
      </w:r>
      <w:r w:rsidRPr="007A296F">
        <w:lastRenderedPageBreak/>
        <w:t>oversight, accountability, and discipline; while completing modern, professional governance mechanisms towards modern, professional manner, approaching OECD good practices, ensuring that each level and unit thoroughly understand its functions, missions and align with the practice effectiveness.</w:t>
      </w:r>
    </w:p>
    <w:p w14:paraId="650B59A0" w14:textId="4A21BAB5" w:rsidR="00C156AA" w:rsidRPr="007A296F" w:rsidRDefault="00C156AA" w:rsidP="00756C86">
      <w:pPr>
        <w:spacing w:before="60" w:after="60" w:line="340" w:lineRule="exact"/>
        <w:ind w:firstLine="562"/>
        <w:jc w:val="both"/>
        <w:rPr>
          <w:szCs w:val="26"/>
        </w:rPr>
      </w:pPr>
      <w:r w:rsidRPr="007A296F">
        <w:rPr>
          <w:b/>
          <w:bCs/>
        </w:rPr>
        <w:t>Sixth,</w:t>
      </w:r>
      <w:r w:rsidRPr="007A296F">
        <w:t xml:space="preserve"> strengthening its local leading role, launching </w:t>
      </w:r>
      <w:r w:rsidR="00F60B85" w:rsidRPr="007A296F">
        <w:t>intensive business</w:t>
      </w:r>
      <w:r w:rsidRPr="007A296F">
        <w:t xml:space="preserve"> development, improving the market shares quality and driving new growth. The BOM shall focus on driving retail business model innovation, optimizing distribution networks, </w:t>
      </w:r>
      <w:r w:rsidR="00F60B85" w:rsidRPr="007A296F">
        <w:t>and improving</w:t>
      </w:r>
      <w:r w:rsidRPr="007A296F">
        <w:t xml:space="preserve"> efficiency across locations and channels, boosting the distribution network, depot, port, transport, and logistics infrastructure. New business models linked to transport infrastructure, integrated services, and emerging consumer needs shall be explored to create additional growth opportunities for Petrolimex in the medium and long term.</w:t>
      </w:r>
    </w:p>
    <w:p w14:paraId="7F7A4954" w14:textId="0B0499D5" w:rsidR="00C156AA" w:rsidRPr="00F60B85" w:rsidRDefault="00C156AA" w:rsidP="00756C86">
      <w:pPr>
        <w:spacing w:before="60" w:after="60" w:line="340" w:lineRule="exact"/>
        <w:ind w:firstLine="562"/>
        <w:jc w:val="both"/>
        <w:rPr>
          <w:szCs w:val="26"/>
        </w:rPr>
      </w:pPr>
      <w:r w:rsidRPr="007A296F">
        <w:rPr>
          <w:b/>
          <w:bCs/>
        </w:rPr>
        <w:t>Seventh</w:t>
      </w:r>
      <w:r w:rsidRPr="007A296F">
        <w:t xml:space="preserve">, continuing </w:t>
      </w:r>
      <w:r w:rsidR="00960866" w:rsidRPr="007A296F">
        <w:t xml:space="preserve">to </w:t>
      </w:r>
      <w:r w:rsidRPr="007A296F">
        <w:t>enhanc</w:t>
      </w:r>
      <w:r w:rsidR="00960866" w:rsidRPr="007A296F">
        <w:t>e</w:t>
      </w:r>
      <w:r w:rsidRPr="007A296F">
        <w:t xml:space="preserve"> the </w:t>
      </w:r>
      <w:r w:rsidR="00960866" w:rsidRPr="007A296F">
        <w:t xml:space="preserve">Petrolimex </w:t>
      </w:r>
      <w:r w:rsidRPr="007A296F">
        <w:t>brand</w:t>
      </w:r>
      <w:r w:rsidRPr="00F60B85">
        <w:t xml:space="preserve"> toward a modern, professional, customer-centric image. The BOM focuses on directing the implementation of a new corporate identity across the system and linking the brand to service quality, service culture, market reputation, transparency, and social responsibility, thereby strengthening trust among customers, partners, shareholders, and the society in the new development phase. </w:t>
      </w:r>
    </w:p>
    <w:p w14:paraId="2D8EEB12" w14:textId="4A8E3F51" w:rsidR="00E263F1" w:rsidRPr="007A296F" w:rsidRDefault="00C156AA" w:rsidP="00756C86">
      <w:pPr>
        <w:spacing w:before="60" w:after="60" w:line="340" w:lineRule="exact"/>
        <w:ind w:firstLine="562"/>
        <w:jc w:val="both"/>
        <w:rPr>
          <w:szCs w:val="26"/>
        </w:rPr>
      </w:pPr>
      <w:r w:rsidRPr="00F60B85">
        <w:rPr>
          <w:b/>
          <w:bCs/>
        </w:rPr>
        <w:t>Eighth</w:t>
      </w:r>
      <w:r w:rsidRPr="00F60B85">
        <w:t xml:space="preserve">, taking people, corporate culture, and leadership innovation as the Group’s intrinsic strength. The BOM shall continue </w:t>
      </w:r>
      <w:r w:rsidR="007521F7" w:rsidRPr="00F60B85">
        <w:t xml:space="preserve">to </w:t>
      </w:r>
      <w:r w:rsidRPr="00F60B85">
        <w:t>enhanc</w:t>
      </w:r>
      <w:r w:rsidR="007521F7" w:rsidRPr="007A296F">
        <w:t>e the</w:t>
      </w:r>
      <w:r w:rsidRPr="007A296F">
        <w:t xml:space="preserve"> human resource strategies toward modern and professional standards, building a resilient, capable, and innovative leadership and management pipeline; developing the leadership, management and successor team with high skills, competence and renovation thinking. The BOM determines that organizational restructuring shall succeed only if it is paired with workforce development, performance culture, and commitment to the Group’s overall objectives. Petrolimex’s culture of unity, discipline, professionalism, and innovation shall be further reinforced to realize the strategic goals as concrete results in practice.</w:t>
      </w:r>
    </w:p>
    <w:p w14:paraId="556AEC54" w14:textId="3B3E3C18" w:rsidR="00413EF0" w:rsidRPr="00F60B85" w:rsidRDefault="00413EF0" w:rsidP="00756C86">
      <w:pPr>
        <w:spacing w:before="60" w:after="60" w:line="340" w:lineRule="exact"/>
        <w:ind w:firstLine="562"/>
        <w:jc w:val="both"/>
        <w:rPr>
          <w:szCs w:val="26"/>
        </w:rPr>
      </w:pPr>
      <w:r w:rsidRPr="007A296F">
        <w:rPr>
          <w:b/>
          <w:bCs/>
        </w:rPr>
        <w:t>Ninth</w:t>
      </w:r>
      <w:r w:rsidRPr="007A296F">
        <w:t xml:space="preserve">, Enhancing ESG and transparency in governance and responsibilities for the shareholders, market and society. According to the announced sustainable development orientations, greenhouse gas accounting, and green transition initiatives, in 2026, the BOM </w:t>
      </w:r>
      <w:r w:rsidRPr="00F60B85">
        <w:t xml:space="preserve">shall continue </w:t>
      </w:r>
      <w:r w:rsidR="007521F7" w:rsidRPr="00F60B85">
        <w:t xml:space="preserve">to </w:t>
      </w:r>
      <w:r w:rsidRPr="00F60B85">
        <w:t>integrat</w:t>
      </w:r>
      <w:r w:rsidR="007521F7" w:rsidRPr="00F60B85">
        <w:t>e</w:t>
      </w:r>
      <w:r w:rsidRPr="00F60B85">
        <w:t xml:space="preserve"> ESG objectives into strategy, investment, and operations; strengthening the environmental, safety, and compliance risk controls; and improving disclosure quality and shareholder dialog, consolidating Petrolimex brand’s long-term reputation and value.</w:t>
      </w:r>
    </w:p>
    <w:p w14:paraId="1718C2BA" w14:textId="1C4A78F3" w:rsidR="00C156AA" w:rsidRPr="00F60B85" w:rsidRDefault="00C156AA" w:rsidP="00756C86">
      <w:pPr>
        <w:spacing w:before="60" w:after="60" w:line="340" w:lineRule="exact"/>
        <w:ind w:firstLine="562"/>
        <w:jc w:val="both"/>
        <w:rPr>
          <w:szCs w:val="26"/>
        </w:rPr>
      </w:pPr>
      <w:r w:rsidRPr="00F60B85">
        <w:t>With the aforesaid orientation, the BOD shall continue</w:t>
      </w:r>
      <w:r w:rsidR="007521F7" w:rsidRPr="00F60B85">
        <w:t xml:space="preserve"> to</w:t>
      </w:r>
      <w:r w:rsidRPr="00F60B85">
        <w:t xml:space="preserve"> uphold</w:t>
      </w:r>
      <w:r w:rsidRPr="007A296F">
        <w:t xml:space="preserve"> its roles to guide, innovate, supervise, and collaborate with the Executive Management Board and all employees to achieve the 2026 objectives and tasks; ensuring balance of interests of the State, shareholders, employees, and society; and affirm to continue </w:t>
      </w:r>
      <w:r w:rsidR="00960866" w:rsidRPr="007A296F">
        <w:t xml:space="preserve">to build </w:t>
      </w:r>
      <w:r w:rsidRPr="007A296F">
        <w:t>Petrolimex</w:t>
      </w:r>
      <w:r w:rsidRPr="00F60B85">
        <w:t xml:space="preserve"> in</w:t>
      </w:r>
      <w:r w:rsidR="00960866" w:rsidRPr="00F60B85">
        <w:t>to</w:t>
      </w:r>
      <w:r w:rsidRPr="00F60B85">
        <w:t xml:space="preserve"> a stable, efficient and sustainable manner, honoring its position as a leading enterprise and its 70-year legacy.</w:t>
      </w:r>
    </w:p>
    <w:p w14:paraId="71C29BF1" w14:textId="77777777" w:rsidR="003419CC" w:rsidRPr="00F60B85" w:rsidRDefault="003419CC" w:rsidP="00E876C7">
      <w:pPr>
        <w:tabs>
          <w:tab w:val="left" w:pos="1134"/>
        </w:tabs>
        <w:spacing w:before="60" w:after="60" w:line="360" w:lineRule="exact"/>
        <w:ind w:firstLine="567"/>
        <w:jc w:val="both"/>
        <w:rPr>
          <w:b/>
          <w:szCs w:val="26"/>
        </w:rPr>
      </w:pPr>
      <w:r w:rsidRPr="00F60B85">
        <w:rPr>
          <w:b/>
        </w:rPr>
        <w:lastRenderedPageBreak/>
        <w:t>Your excellences, Valued Shareholders and Delegates!</w:t>
      </w:r>
    </w:p>
    <w:p w14:paraId="51E55E37" w14:textId="700EC76F" w:rsidR="003419CC" w:rsidRPr="00F60B85" w:rsidRDefault="003419CC" w:rsidP="00E876C7">
      <w:pPr>
        <w:spacing w:before="60" w:after="60" w:line="360" w:lineRule="exact"/>
        <w:ind w:firstLine="567"/>
        <w:jc w:val="both"/>
        <w:rPr>
          <w:szCs w:val="26"/>
        </w:rPr>
      </w:pPr>
      <w:r w:rsidRPr="00F60B85">
        <w:t xml:space="preserve">Although 2025 </w:t>
      </w:r>
      <w:r w:rsidR="007521F7" w:rsidRPr="00F60B85">
        <w:t>posed many</w:t>
      </w:r>
      <w:r w:rsidRPr="00F60B85">
        <w:t xml:space="preserve"> difficulties and challenges, thanks to unity and great efforts, the Board of Management and the Board of Directors have successfully launch</w:t>
      </w:r>
      <w:r w:rsidR="007521F7" w:rsidRPr="00F60B85">
        <w:t>ed</w:t>
      </w:r>
      <w:r w:rsidRPr="00F60B85">
        <w:t xml:space="preserve"> the Annual GMS’s Resolutions, exceeding the 2025 plan targets approved by the Annual General Meeting of Shareholders.</w:t>
      </w:r>
    </w:p>
    <w:p w14:paraId="675C52F2" w14:textId="36795C9B" w:rsidR="003419CC" w:rsidRPr="007A296F" w:rsidRDefault="003419CC" w:rsidP="00E876C7">
      <w:pPr>
        <w:spacing w:before="60" w:after="60" w:line="360" w:lineRule="exact"/>
        <w:ind w:firstLine="567"/>
        <w:jc w:val="both"/>
        <w:rPr>
          <w:szCs w:val="26"/>
        </w:rPr>
      </w:pPr>
      <w:r w:rsidRPr="00F60B85">
        <w:t xml:space="preserve">2026 is expected to witness even greater challenges, while it is marked as the first year of the 2026-2030 period. According to the assessment results of the 2025 fulfillment and the 2026 situation forecast, the BOM commits to continue </w:t>
      </w:r>
      <w:r w:rsidR="004C1335" w:rsidRPr="00F60B85">
        <w:t xml:space="preserve">to </w:t>
      </w:r>
      <w:r w:rsidRPr="00F60B85">
        <w:t>mak</w:t>
      </w:r>
      <w:r w:rsidR="004C1335" w:rsidRPr="00F60B85">
        <w:t>e</w:t>
      </w:r>
      <w:r w:rsidRPr="007A296F">
        <w:t xml:space="preserve"> the great efforts to lead and direct the Group’s high performance, sustainable development, capital reserve and development, offering high added value to the shareholders.</w:t>
      </w:r>
    </w:p>
    <w:p w14:paraId="5BE70E7D" w14:textId="455A039B" w:rsidR="003419CC" w:rsidRPr="007A296F" w:rsidRDefault="003419CC" w:rsidP="00E876C7">
      <w:pPr>
        <w:spacing w:before="60" w:after="60" w:line="360" w:lineRule="exact"/>
        <w:ind w:firstLine="567"/>
        <w:jc w:val="both"/>
        <w:rPr>
          <w:spacing w:val="-4"/>
          <w:szCs w:val="26"/>
        </w:rPr>
      </w:pPr>
      <w:r w:rsidRPr="007A296F">
        <w:tab/>
        <w:t>On behalf of the BOM, I would like to sen</w:t>
      </w:r>
      <w:r w:rsidR="005D6FDA" w:rsidRPr="007A296F">
        <w:t>d</w:t>
      </w:r>
      <w:r w:rsidRPr="007A296F">
        <w:t xml:space="preserve"> you the best regards and sincere thanks for your great trust and support for Petrolimex in the recent years. We hereby commit to make great efforts for Petrolimex’s sustainable development.</w:t>
      </w:r>
    </w:p>
    <w:p w14:paraId="6F28228E" w14:textId="68B69CC8" w:rsidR="003419CC" w:rsidRPr="007A296F" w:rsidRDefault="003419CC" w:rsidP="00E876C7">
      <w:pPr>
        <w:spacing w:before="60" w:after="60" w:line="360" w:lineRule="exact"/>
        <w:ind w:firstLine="562"/>
        <w:jc w:val="both"/>
        <w:rPr>
          <w:bCs/>
          <w:spacing w:val="-6"/>
          <w:szCs w:val="26"/>
        </w:rPr>
      </w:pPr>
      <w:r w:rsidRPr="007A296F">
        <w:tab/>
        <w:t>I would like to wish you good health, great success and happiness!</w:t>
      </w:r>
    </w:p>
    <w:tbl>
      <w:tblPr>
        <w:tblW w:w="0" w:type="auto"/>
        <w:tblInd w:w="450" w:type="dxa"/>
        <w:tblLook w:val="04A0" w:firstRow="1" w:lastRow="0" w:firstColumn="1" w:lastColumn="0" w:noHBand="0" w:noVBand="1"/>
      </w:tblPr>
      <w:tblGrid>
        <w:gridCol w:w="3877"/>
        <w:gridCol w:w="4743"/>
      </w:tblGrid>
      <w:tr w:rsidR="008521F9" w:rsidRPr="007A296F" w14:paraId="6898D9E5" w14:textId="77777777" w:rsidTr="00703E97">
        <w:tc>
          <w:tcPr>
            <w:tcW w:w="3877" w:type="dxa"/>
          </w:tcPr>
          <w:p w14:paraId="08C94413" w14:textId="57910592" w:rsidR="008521F9" w:rsidRPr="007A296F" w:rsidRDefault="008521F9" w:rsidP="00412FE9">
            <w:pPr>
              <w:spacing w:before="60" w:after="0" w:line="240" w:lineRule="auto"/>
              <w:jc w:val="both"/>
              <w:rPr>
                <w:rFonts w:eastAsia="Times New Roman"/>
                <w:szCs w:val="26"/>
              </w:rPr>
            </w:pPr>
            <w:r w:rsidRPr="007A296F">
              <w:rPr>
                <w:b/>
              </w:rPr>
              <w:t xml:space="preserve"> </w:t>
            </w:r>
          </w:p>
        </w:tc>
        <w:tc>
          <w:tcPr>
            <w:tcW w:w="4743" w:type="dxa"/>
          </w:tcPr>
          <w:p w14:paraId="2C45361D" w14:textId="545DFA59" w:rsidR="008521F9" w:rsidRPr="00F60B85" w:rsidRDefault="007521F7" w:rsidP="00F36B32">
            <w:pPr>
              <w:spacing w:before="120" w:after="120" w:line="340" w:lineRule="exact"/>
              <w:ind w:right="-142"/>
              <w:jc w:val="center"/>
              <w:rPr>
                <w:rFonts w:eastAsia="Times New Roman"/>
                <w:b/>
                <w:bCs/>
                <w:szCs w:val="26"/>
              </w:rPr>
            </w:pPr>
            <w:r w:rsidRPr="007A296F">
              <w:rPr>
                <w:b/>
              </w:rPr>
              <w:t xml:space="preserve">FOR AND ON BEHALF OF  </w:t>
            </w:r>
            <w:r w:rsidR="008521F9" w:rsidRPr="00F60B85">
              <w:rPr>
                <w:b/>
              </w:rPr>
              <w:t>THE BOARD OF MANAGEMENT</w:t>
            </w:r>
          </w:p>
          <w:p w14:paraId="7639CCA0" w14:textId="77777777" w:rsidR="008521F9" w:rsidRPr="00F60B85" w:rsidRDefault="008521F9" w:rsidP="00F36B32">
            <w:pPr>
              <w:spacing w:before="120" w:after="120" w:line="340" w:lineRule="exact"/>
              <w:ind w:right="-142"/>
              <w:jc w:val="center"/>
              <w:rPr>
                <w:rFonts w:eastAsia="Times New Roman"/>
                <w:b/>
                <w:bCs/>
                <w:szCs w:val="26"/>
              </w:rPr>
            </w:pPr>
            <w:r w:rsidRPr="00F60B85">
              <w:rPr>
                <w:b/>
              </w:rPr>
              <w:t>THE CHAIRMAN</w:t>
            </w:r>
          </w:p>
          <w:p w14:paraId="77497B9B" w14:textId="77777777" w:rsidR="007B692A" w:rsidRPr="007A296F" w:rsidRDefault="007B692A" w:rsidP="00A93489">
            <w:pPr>
              <w:spacing w:before="60" w:after="0" w:line="240" w:lineRule="auto"/>
              <w:jc w:val="center"/>
              <w:rPr>
                <w:rFonts w:eastAsia="Times New Roman"/>
                <w:b/>
                <w:szCs w:val="26"/>
              </w:rPr>
            </w:pPr>
          </w:p>
          <w:p w14:paraId="58F3FC9F" w14:textId="77777777" w:rsidR="008521F9" w:rsidRPr="007A296F" w:rsidRDefault="008521F9" w:rsidP="000719B5">
            <w:pPr>
              <w:spacing w:before="60" w:after="0" w:line="240" w:lineRule="auto"/>
              <w:rPr>
                <w:rFonts w:eastAsia="Times New Roman"/>
                <w:b/>
                <w:szCs w:val="26"/>
              </w:rPr>
            </w:pPr>
          </w:p>
          <w:p w14:paraId="7C9FC4EF" w14:textId="77777777" w:rsidR="00F36B32" w:rsidRPr="007A296F" w:rsidRDefault="00F36B32" w:rsidP="000719B5">
            <w:pPr>
              <w:spacing w:before="60" w:after="0" w:line="240" w:lineRule="auto"/>
              <w:rPr>
                <w:rFonts w:eastAsia="Times New Roman"/>
                <w:b/>
                <w:szCs w:val="26"/>
              </w:rPr>
            </w:pPr>
          </w:p>
          <w:p w14:paraId="40656264" w14:textId="77777777" w:rsidR="00CC67B0" w:rsidRPr="007A296F" w:rsidRDefault="00CC67B0" w:rsidP="000719B5">
            <w:pPr>
              <w:spacing w:before="60" w:after="0" w:line="240" w:lineRule="auto"/>
              <w:rPr>
                <w:rFonts w:eastAsia="Times New Roman"/>
                <w:b/>
                <w:szCs w:val="26"/>
              </w:rPr>
            </w:pPr>
          </w:p>
          <w:p w14:paraId="232F4C8F" w14:textId="77777777" w:rsidR="008521F9" w:rsidRPr="00F60B85" w:rsidRDefault="008521F9" w:rsidP="00A93489">
            <w:pPr>
              <w:spacing w:after="0" w:line="240" w:lineRule="auto"/>
              <w:ind w:right="-142"/>
              <w:jc w:val="center"/>
              <w:rPr>
                <w:rFonts w:eastAsia="Times New Roman"/>
                <w:szCs w:val="26"/>
              </w:rPr>
            </w:pPr>
            <w:r w:rsidRPr="00F60B85">
              <w:rPr>
                <w:b/>
              </w:rPr>
              <w:t>Pham Van Thanh</w:t>
            </w:r>
          </w:p>
        </w:tc>
      </w:tr>
      <w:bookmarkEnd w:id="1"/>
    </w:tbl>
    <w:p w14:paraId="574423C7" w14:textId="14DEF249" w:rsidR="00097A1A" w:rsidRPr="007A296F" w:rsidRDefault="00097A1A" w:rsidP="002451A2">
      <w:pPr>
        <w:spacing w:after="0"/>
        <w:ind w:right="130"/>
        <w:jc w:val="both"/>
        <w:rPr>
          <w:szCs w:val="26"/>
        </w:rPr>
      </w:pPr>
    </w:p>
    <w:p w14:paraId="6EFB85AD" w14:textId="77777777" w:rsidR="007F24E0" w:rsidRPr="007A296F" w:rsidRDefault="007F24E0" w:rsidP="002451A2">
      <w:pPr>
        <w:spacing w:after="0"/>
        <w:ind w:right="130"/>
        <w:jc w:val="both"/>
        <w:rPr>
          <w:szCs w:val="26"/>
        </w:rPr>
      </w:pPr>
    </w:p>
    <w:p w14:paraId="4C896770" w14:textId="4E521671" w:rsidR="007F24E0" w:rsidRPr="007A296F" w:rsidRDefault="007F24E0">
      <w:pPr>
        <w:spacing w:line="278" w:lineRule="auto"/>
        <w:rPr>
          <w:szCs w:val="26"/>
        </w:rPr>
      </w:pPr>
      <w:r w:rsidRPr="007A296F">
        <w:br w:type="page"/>
      </w:r>
    </w:p>
    <w:p w14:paraId="3E33D653" w14:textId="02ABD900" w:rsidR="007F24E0" w:rsidRPr="007A296F" w:rsidRDefault="007F24E0" w:rsidP="00DD5CE3">
      <w:pPr>
        <w:spacing w:after="0" w:line="340" w:lineRule="exact"/>
        <w:ind w:right="130"/>
        <w:jc w:val="center"/>
        <w:rPr>
          <w:b/>
          <w:bCs/>
          <w:szCs w:val="26"/>
        </w:rPr>
      </w:pPr>
      <w:r w:rsidRPr="007A296F">
        <w:rPr>
          <w:b/>
        </w:rPr>
        <w:lastRenderedPageBreak/>
        <w:t>APPENDIX OF OPERATING RESULTS IN THE PERIOD OF 2021 - 2025</w:t>
      </w:r>
    </w:p>
    <w:p w14:paraId="1696BB7E" w14:textId="24ECD17D" w:rsidR="007F24E0" w:rsidRPr="007A296F" w:rsidRDefault="00F03AA0" w:rsidP="00DD5CE3">
      <w:pPr>
        <w:spacing w:after="0" w:line="340" w:lineRule="exact"/>
        <w:ind w:right="130"/>
        <w:jc w:val="center"/>
        <w:rPr>
          <w:b/>
          <w:bCs/>
          <w:szCs w:val="26"/>
        </w:rPr>
      </w:pPr>
      <w:r w:rsidRPr="007A296F">
        <w:rPr>
          <w:b/>
        </w:rPr>
        <w:t>PRODUCTION AND BUSINESS PLAN ORIENTATION IN THE PERIOD OF 2026 - 2030</w:t>
      </w:r>
    </w:p>
    <w:p w14:paraId="2825F3A3" w14:textId="77777777" w:rsidR="00655A4C" w:rsidRPr="007A296F" w:rsidRDefault="00655A4C" w:rsidP="00655A4C">
      <w:pPr>
        <w:spacing w:after="0"/>
        <w:ind w:right="130"/>
        <w:rPr>
          <w:b/>
          <w:bCs/>
          <w:szCs w:val="26"/>
        </w:rPr>
      </w:pPr>
    </w:p>
    <w:p w14:paraId="5A91B5E4" w14:textId="480FBBB6" w:rsidR="00655A4C" w:rsidRPr="007A296F" w:rsidRDefault="00655A4C" w:rsidP="00DD5CE3">
      <w:pPr>
        <w:pStyle w:val="ListParagraph"/>
        <w:numPr>
          <w:ilvl w:val="0"/>
          <w:numId w:val="4"/>
        </w:numPr>
        <w:spacing w:before="120" w:after="120"/>
        <w:ind w:left="714" w:right="130" w:hanging="357"/>
        <w:rPr>
          <w:b/>
          <w:bCs/>
          <w:szCs w:val="26"/>
        </w:rPr>
      </w:pPr>
      <w:r w:rsidRPr="007A296F">
        <w:rPr>
          <w:b/>
        </w:rPr>
        <w:t>Operating results in the period of 2021 - 2025:</w:t>
      </w:r>
    </w:p>
    <w:tbl>
      <w:tblPr>
        <w:tblW w:w="5977"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1962"/>
        <w:gridCol w:w="1197"/>
        <w:gridCol w:w="1199"/>
        <w:gridCol w:w="1199"/>
        <w:gridCol w:w="1199"/>
        <w:gridCol w:w="1199"/>
        <w:gridCol w:w="1199"/>
        <w:gridCol w:w="1386"/>
      </w:tblGrid>
      <w:tr w:rsidR="00655A4C" w:rsidRPr="007A296F" w14:paraId="142E9198" w14:textId="77777777" w:rsidTr="004519E3">
        <w:trPr>
          <w:trHeight w:val="362"/>
          <w:tblHeader/>
        </w:trPr>
        <w:tc>
          <w:tcPr>
            <w:tcW w:w="253" w:type="pct"/>
            <w:tcMar>
              <w:top w:w="0" w:type="dxa"/>
              <w:left w:w="108" w:type="dxa"/>
              <w:bottom w:w="0" w:type="dxa"/>
              <w:right w:w="108" w:type="dxa"/>
            </w:tcMar>
            <w:vAlign w:val="center"/>
            <w:hideMark/>
          </w:tcPr>
          <w:p w14:paraId="5662B24C" w14:textId="77777777" w:rsidR="00655A4C" w:rsidRPr="007A296F" w:rsidRDefault="00655A4C" w:rsidP="00DD5CE3">
            <w:pPr>
              <w:spacing w:before="60" w:after="60" w:line="340" w:lineRule="exact"/>
              <w:jc w:val="center"/>
              <w:rPr>
                <w:b/>
                <w:bCs/>
                <w:sz w:val="20"/>
                <w:szCs w:val="20"/>
              </w:rPr>
            </w:pPr>
            <w:r w:rsidRPr="007A296F">
              <w:rPr>
                <w:b/>
                <w:sz w:val="20"/>
              </w:rPr>
              <w:t>No.</w:t>
            </w:r>
          </w:p>
        </w:tc>
        <w:tc>
          <w:tcPr>
            <w:tcW w:w="883" w:type="pct"/>
            <w:tcMar>
              <w:top w:w="0" w:type="dxa"/>
              <w:left w:w="108" w:type="dxa"/>
              <w:bottom w:w="0" w:type="dxa"/>
              <w:right w:w="108" w:type="dxa"/>
            </w:tcMar>
            <w:vAlign w:val="center"/>
            <w:hideMark/>
          </w:tcPr>
          <w:p w14:paraId="235EEF2B" w14:textId="77777777" w:rsidR="00655A4C" w:rsidRPr="007A296F" w:rsidRDefault="00655A4C" w:rsidP="00DD5CE3">
            <w:pPr>
              <w:spacing w:before="60" w:after="60" w:line="340" w:lineRule="exact"/>
              <w:jc w:val="center"/>
              <w:rPr>
                <w:b/>
                <w:bCs/>
                <w:sz w:val="20"/>
                <w:szCs w:val="20"/>
              </w:rPr>
            </w:pPr>
            <w:r w:rsidRPr="007A296F">
              <w:rPr>
                <w:b/>
                <w:sz w:val="20"/>
              </w:rPr>
              <w:t>Items</w:t>
            </w:r>
          </w:p>
        </w:tc>
        <w:tc>
          <w:tcPr>
            <w:tcW w:w="539" w:type="pct"/>
            <w:tcMar>
              <w:top w:w="0" w:type="dxa"/>
              <w:left w:w="108" w:type="dxa"/>
              <w:bottom w:w="0" w:type="dxa"/>
              <w:right w:w="108" w:type="dxa"/>
            </w:tcMar>
            <w:vAlign w:val="center"/>
            <w:hideMark/>
          </w:tcPr>
          <w:p w14:paraId="0C0A0B22" w14:textId="77777777" w:rsidR="00655A4C" w:rsidRPr="007A296F" w:rsidRDefault="00655A4C" w:rsidP="00DD5CE3">
            <w:pPr>
              <w:spacing w:before="60" w:after="60" w:line="340" w:lineRule="exact"/>
              <w:jc w:val="center"/>
              <w:rPr>
                <w:b/>
                <w:bCs/>
                <w:sz w:val="20"/>
                <w:szCs w:val="20"/>
              </w:rPr>
            </w:pPr>
            <w:r w:rsidRPr="007A296F">
              <w:rPr>
                <w:b/>
                <w:sz w:val="20"/>
              </w:rPr>
              <w:t>2021 fulfillment</w:t>
            </w:r>
          </w:p>
        </w:tc>
        <w:tc>
          <w:tcPr>
            <w:tcW w:w="540" w:type="pct"/>
            <w:vAlign w:val="center"/>
          </w:tcPr>
          <w:p w14:paraId="7859C7E7" w14:textId="77777777" w:rsidR="00655A4C" w:rsidRPr="007A296F" w:rsidRDefault="00655A4C" w:rsidP="00DD5CE3">
            <w:pPr>
              <w:spacing w:before="60" w:after="60" w:line="340" w:lineRule="exact"/>
              <w:jc w:val="center"/>
              <w:rPr>
                <w:b/>
                <w:bCs/>
                <w:sz w:val="20"/>
                <w:szCs w:val="20"/>
              </w:rPr>
            </w:pPr>
            <w:r w:rsidRPr="007A296F">
              <w:rPr>
                <w:b/>
                <w:sz w:val="20"/>
              </w:rPr>
              <w:t>2022 fulfillment</w:t>
            </w:r>
          </w:p>
        </w:tc>
        <w:tc>
          <w:tcPr>
            <w:tcW w:w="540" w:type="pct"/>
            <w:vAlign w:val="center"/>
          </w:tcPr>
          <w:p w14:paraId="2756DDBC" w14:textId="77777777" w:rsidR="00655A4C" w:rsidRPr="007A296F" w:rsidRDefault="00655A4C" w:rsidP="00DD5CE3">
            <w:pPr>
              <w:spacing w:before="60" w:after="60" w:line="340" w:lineRule="exact"/>
              <w:jc w:val="center"/>
              <w:rPr>
                <w:b/>
                <w:bCs/>
                <w:sz w:val="20"/>
                <w:szCs w:val="20"/>
              </w:rPr>
            </w:pPr>
            <w:r w:rsidRPr="007A296F">
              <w:rPr>
                <w:b/>
                <w:sz w:val="20"/>
              </w:rPr>
              <w:t>2023 fulfillment</w:t>
            </w:r>
          </w:p>
        </w:tc>
        <w:tc>
          <w:tcPr>
            <w:tcW w:w="540" w:type="pct"/>
            <w:vAlign w:val="center"/>
          </w:tcPr>
          <w:p w14:paraId="4A852FAA" w14:textId="77777777" w:rsidR="00655A4C" w:rsidRPr="007A296F" w:rsidRDefault="00655A4C" w:rsidP="00DD5CE3">
            <w:pPr>
              <w:spacing w:before="60" w:after="60" w:line="340" w:lineRule="exact"/>
              <w:jc w:val="center"/>
              <w:rPr>
                <w:b/>
                <w:bCs/>
                <w:sz w:val="20"/>
                <w:szCs w:val="20"/>
              </w:rPr>
            </w:pPr>
            <w:r w:rsidRPr="007A296F">
              <w:rPr>
                <w:b/>
                <w:sz w:val="20"/>
              </w:rPr>
              <w:t>2024 fulfillment</w:t>
            </w:r>
          </w:p>
        </w:tc>
        <w:tc>
          <w:tcPr>
            <w:tcW w:w="540" w:type="pct"/>
            <w:tcMar>
              <w:top w:w="0" w:type="dxa"/>
              <w:left w:w="108" w:type="dxa"/>
              <w:bottom w:w="0" w:type="dxa"/>
              <w:right w:w="108" w:type="dxa"/>
            </w:tcMar>
            <w:vAlign w:val="center"/>
            <w:hideMark/>
          </w:tcPr>
          <w:p w14:paraId="728279B3" w14:textId="77777777" w:rsidR="00655A4C" w:rsidRPr="007A296F" w:rsidRDefault="00655A4C" w:rsidP="00DD5CE3">
            <w:pPr>
              <w:spacing w:before="60" w:after="60" w:line="340" w:lineRule="exact"/>
              <w:jc w:val="center"/>
              <w:rPr>
                <w:b/>
                <w:bCs/>
                <w:sz w:val="20"/>
                <w:szCs w:val="20"/>
              </w:rPr>
            </w:pPr>
            <w:r w:rsidRPr="007A296F">
              <w:rPr>
                <w:b/>
                <w:sz w:val="20"/>
              </w:rPr>
              <w:t>2025 fulfillment</w:t>
            </w:r>
          </w:p>
        </w:tc>
        <w:tc>
          <w:tcPr>
            <w:tcW w:w="540" w:type="pct"/>
            <w:vAlign w:val="center"/>
          </w:tcPr>
          <w:p w14:paraId="1283CC47" w14:textId="77777777" w:rsidR="00655A4C" w:rsidRPr="007A296F" w:rsidRDefault="00655A4C" w:rsidP="00DD5CE3">
            <w:pPr>
              <w:spacing w:before="60" w:after="60" w:line="340" w:lineRule="exact"/>
              <w:jc w:val="center"/>
              <w:rPr>
                <w:b/>
                <w:bCs/>
                <w:sz w:val="20"/>
                <w:szCs w:val="20"/>
              </w:rPr>
            </w:pPr>
            <w:r w:rsidRPr="007A296F">
              <w:rPr>
                <w:b/>
                <w:sz w:val="20"/>
              </w:rPr>
              <w:t>2025 fulfillment/plan (%)</w:t>
            </w:r>
          </w:p>
        </w:tc>
        <w:tc>
          <w:tcPr>
            <w:tcW w:w="624" w:type="pct"/>
            <w:tcMar>
              <w:top w:w="0" w:type="dxa"/>
              <w:left w:w="108" w:type="dxa"/>
              <w:bottom w:w="0" w:type="dxa"/>
              <w:right w:w="108" w:type="dxa"/>
            </w:tcMar>
            <w:vAlign w:val="center"/>
            <w:hideMark/>
          </w:tcPr>
          <w:p w14:paraId="65408A32" w14:textId="77777777" w:rsidR="00655A4C" w:rsidRPr="007A296F" w:rsidRDefault="00655A4C" w:rsidP="00DD5CE3">
            <w:pPr>
              <w:spacing w:before="60" w:after="60" w:line="340" w:lineRule="exact"/>
              <w:ind w:left="-168" w:right="-16"/>
              <w:jc w:val="center"/>
              <w:rPr>
                <w:b/>
                <w:bCs/>
                <w:sz w:val="20"/>
                <w:szCs w:val="20"/>
              </w:rPr>
            </w:pPr>
            <w:r w:rsidRPr="007A296F">
              <w:rPr>
                <w:b/>
                <w:sz w:val="20"/>
              </w:rPr>
              <w:t>2025 fulfillment</w:t>
            </w:r>
          </w:p>
          <w:p w14:paraId="78028829" w14:textId="77777777" w:rsidR="00655A4C" w:rsidRPr="007A296F" w:rsidRDefault="00655A4C" w:rsidP="00DD5CE3">
            <w:pPr>
              <w:spacing w:before="60" w:after="60" w:line="340" w:lineRule="exact"/>
              <w:ind w:left="-168" w:right="-16"/>
              <w:jc w:val="center"/>
              <w:rPr>
                <w:b/>
                <w:bCs/>
                <w:sz w:val="20"/>
                <w:szCs w:val="20"/>
              </w:rPr>
            </w:pPr>
            <w:r w:rsidRPr="007A296F">
              <w:rPr>
                <w:b/>
                <w:sz w:val="20"/>
              </w:rPr>
              <w:t>/2021 fulfillment (%)</w:t>
            </w:r>
          </w:p>
        </w:tc>
      </w:tr>
      <w:tr w:rsidR="00655A4C" w:rsidRPr="007A296F" w14:paraId="5759753F" w14:textId="77777777" w:rsidTr="004519E3">
        <w:trPr>
          <w:trHeight w:val="454"/>
        </w:trPr>
        <w:tc>
          <w:tcPr>
            <w:tcW w:w="253" w:type="pct"/>
            <w:vMerge w:val="restart"/>
            <w:tcMar>
              <w:top w:w="0" w:type="dxa"/>
              <w:left w:w="108" w:type="dxa"/>
              <w:bottom w:w="0" w:type="dxa"/>
              <w:right w:w="108" w:type="dxa"/>
            </w:tcMar>
            <w:vAlign w:val="center"/>
            <w:hideMark/>
          </w:tcPr>
          <w:p w14:paraId="59944211" w14:textId="77777777" w:rsidR="00655A4C" w:rsidRPr="007A296F" w:rsidRDefault="00655A4C" w:rsidP="00DD5CE3">
            <w:pPr>
              <w:spacing w:before="60" w:after="60" w:line="340" w:lineRule="exact"/>
              <w:jc w:val="center"/>
              <w:rPr>
                <w:b/>
                <w:bCs/>
                <w:sz w:val="20"/>
                <w:szCs w:val="20"/>
              </w:rPr>
            </w:pPr>
            <w:r w:rsidRPr="007A296F">
              <w:rPr>
                <w:b/>
                <w:sz w:val="20"/>
              </w:rPr>
              <w:t>1</w:t>
            </w:r>
          </w:p>
        </w:tc>
        <w:tc>
          <w:tcPr>
            <w:tcW w:w="883" w:type="pct"/>
            <w:tcMar>
              <w:top w:w="0" w:type="dxa"/>
              <w:left w:w="108" w:type="dxa"/>
              <w:bottom w:w="0" w:type="dxa"/>
              <w:right w:w="108" w:type="dxa"/>
            </w:tcMar>
            <w:vAlign w:val="center"/>
            <w:hideMark/>
          </w:tcPr>
          <w:p w14:paraId="27B77BD1" w14:textId="77777777" w:rsidR="00655A4C" w:rsidRPr="007A296F" w:rsidRDefault="00655A4C" w:rsidP="00DD5CE3">
            <w:pPr>
              <w:spacing w:before="60" w:after="60" w:line="340" w:lineRule="exact"/>
              <w:jc w:val="both"/>
              <w:rPr>
                <w:b/>
                <w:bCs/>
                <w:sz w:val="20"/>
                <w:szCs w:val="20"/>
              </w:rPr>
            </w:pPr>
            <w:r w:rsidRPr="007A296F">
              <w:rPr>
                <w:b/>
                <w:sz w:val="20"/>
              </w:rPr>
              <w:t>Petroleum sales volume of entire Group (</w:t>
            </w:r>
            <w:r w:rsidRPr="007A296F">
              <w:rPr>
                <w:b/>
                <w:i/>
                <w:sz w:val="20"/>
              </w:rPr>
              <w:t>m</w:t>
            </w:r>
            <w:r w:rsidRPr="007A296F">
              <w:rPr>
                <w:b/>
                <w:i/>
                <w:sz w:val="20"/>
                <w:vertAlign w:val="superscript"/>
              </w:rPr>
              <w:t>3</w:t>
            </w:r>
            <w:r w:rsidRPr="007A296F">
              <w:rPr>
                <w:b/>
                <w:i/>
                <w:sz w:val="20"/>
              </w:rPr>
              <w:t>, ton</w:t>
            </w:r>
            <w:r w:rsidRPr="007A296F">
              <w:rPr>
                <w:b/>
                <w:sz w:val="20"/>
              </w:rPr>
              <w:t>)</w:t>
            </w:r>
          </w:p>
        </w:tc>
        <w:tc>
          <w:tcPr>
            <w:tcW w:w="539" w:type="pct"/>
            <w:tcMar>
              <w:top w:w="0" w:type="dxa"/>
              <w:left w:w="108" w:type="dxa"/>
              <w:bottom w:w="0" w:type="dxa"/>
              <w:right w:w="108" w:type="dxa"/>
            </w:tcMar>
            <w:vAlign w:val="center"/>
          </w:tcPr>
          <w:p w14:paraId="4515BB25" w14:textId="77777777" w:rsidR="00655A4C" w:rsidRPr="007A296F" w:rsidRDefault="00655A4C" w:rsidP="00DD5CE3">
            <w:pPr>
              <w:spacing w:before="60" w:after="60" w:line="340" w:lineRule="exact"/>
              <w:jc w:val="right"/>
              <w:rPr>
                <w:b/>
                <w:sz w:val="20"/>
                <w:szCs w:val="20"/>
              </w:rPr>
            </w:pPr>
            <w:r w:rsidRPr="007A296F">
              <w:rPr>
                <w:sz w:val="20"/>
              </w:rPr>
              <w:t>12,377,569</w:t>
            </w:r>
          </w:p>
        </w:tc>
        <w:tc>
          <w:tcPr>
            <w:tcW w:w="540" w:type="pct"/>
            <w:vAlign w:val="center"/>
          </w:tcPr>
          <w:p w14:paraId="6DB95973" w14:textId="77777777" w:rsidR="00655A4C" w:rsidRPr="007A296F" w:rsidRDefault="00655A4C" w:rsidP="00DD5CE3">
            <w:pPr>
              <w:spacing w:before="60" w:after="60" w:line="340" w:lineRule="exact"/>
              <w:ind w:right="116"/>
              <w:jc w:val="right"/>
              <w:rPr>
                <w:b/>
                <w:bCs/>
                <w:sz w:val="20"/>
                <w:szCs w:val="20"/>
              </w:rPr>
            </w:pPr>
            <w:r w:rsidRPr="007A296F">
              <w:rPr>
                <w:sz w:val="20"/>
              </w:rPr>
              <w:t>13,861,414</w:t>
            </w:r>
          </w:p>
        </w:tc>
        <w:tc>
          <w:tcPr>
            <w:tcW w:w="540" w:type="pct"/>
            <w:vAlign w:val="center"/>
          </w:tcPr>
          <w:p w14:paraId="7AA976E7" w14:textId="77777777" w:rsidR="00655A4C" w:rsidRPr="007A296F" w:rsidRDefault="00655A4C" w:rsidP="00DD5CE3">
            <w:pPr>
              <w:spacing w:before="60" w:after="60" w:line="340" w:lineRule="exact"/>
              <w:ind w:right="116"/>
              <w:jc w:val="right"/>
              <w:rPr>
                <w:sz w:val="20"/>
                <w:szCs w:val="20"/>
              </w:rPr>
            </w:pPr>
            <w:r w:rsidRPr="007A296F">
              <w:rPr>
                <w:sz w:val="20"/>
              </w:rPr>
              <w:t>14,422,988</w:t>
            </w:r>
          </w:p>
        </w:tc>
        <w:tc>
          <w:tcPr>
            <w:tcW w:w="540" w:type="pct"/>
            <w:vAlign w:val="center"/>
          </w:tcPr>
          <w:p w14:paraId="52436BEF" w14:textId="77777777" w:rsidR="00655A4C" w:rsidRPr="007A296F" w:rsidRDefault="00655A4C" w:rsidP="00DD5CE3">
            <w:pPr>
              <w:spacing w:before="60" w:after="60" w:line="340" w:lineRule="exact"/>
              <w:ind w:right="116"/>
              <w:jc w:val="right"/>
              <w:rPr>
                <w:sz w:val="20"/>
                <w:szCs w:val="20"/>
              </w:rPr>
            </w:pPr>
            <w:r w:rsidRPr="007A296F">
              <w:rPr>
                <w:sz w:val="20"/>
              </w:rPr>
              <w:t>15,747,663</w:t>
            </w:r>
          </w:p>
        </w:tc>
        <w:tc>
          <w:tcPr>
            <w:tcW w:w="540" w:type="pct"/>
            <w:tcMar>
              <w:top w:w="0" w:type="dxa"/>
              <w:left w:w="108" w:type="dxa"/>
              <w:bottom w:w="0" w:type="dxa"/>
              <w:right w:w="108" w:type="dxa"/>
            </w:tcMar>
            <w:vAlign w:val="center"/>
          </w:tcPr>
          <w:p w14:paraId="7F909EF0" w14:textId="77777777" w:rsidR="00655A4C" w:rsidRPr="007A296F" w:rsidRDefault="00655A4C" w:rsidP="00DD5CE3">
            <w:pPr>
              <w:spacing w:before="60" w:after="60" w:line="340" w:lineRule="exact"/>
              <w:jc w:val="right"/>
              <w:rPr>
                <w:b/>
                <w:bCs/>
                <w:sz w:val="20"/>
                <w:szCs w:val="20"/>
              </w:rPr>
            </w:pPr>
            <w:r w:rsidRPr="007A296F">
              <w:rPr>
                <w:sz w:val="20"/>
              </w:rPr>
              <w:t>17,675,000</w:t>
            </w:r>
          </w:p>
        </w:tc>
        <w:tc>
          <w:tcPr>
            <w:tcW w:w="540" w:type="pct"/>
            <w:vAlign w:val="center"/>
          </w:tcPr>
          <w:p w14:paraId="6A2E6BB3" w14:textId="77777777" w:rsidR="00655A4C" w:rsidRPr="007A296F" w:rsidRDefault="00655A4C" w:rsidP="00DD5CE3">
            <w:pPr>
              <w:spacing w:before="60" w:after="60" w:line="340" w:lineRule="exact"/>
              <w:ind w:right="116"/>
              <w:jc w:val="right"/>
              <w:rPr>
                <w:sz w:val="20"/>
                <w:szCs w:val="20"/>
              </w:rPr>
            </w:pPr>
            <w:r w:rsidRPr="007A296F">
              <w:rPr>
                <w:sz w:val="20"/>
              </w:rPr>
              <w:t>102.0%</w:t>
            </w:r>
          </w:p>
        </w:tc>
        <w:tc>
          <w:tcPr>
            <w:tcW w:w="624" w:type="pct"/>
            <w:tcMar>
              <w:top w:w="0" w:type="dxa"/>
              <w:left w:w="108" w:type="dxa"/>
              <w:bottom w:w="0" w:type="dxa"/>
              <w:right w:w="108" w:type="dxa"/>
            </w:tcMar>
            <w:vAlign w:val="center"/>
          </w:tcPr>
          <w:p w14:paraId="11E69E74" w14:textId="77777777" w:rsidR="00655A4C" w:rsidRPr="007A296F" w:rsidRDefault="00655A4C" w:rsidP="00DD5CE3">
            <w:pPr>
              <w:spacing w:before="60" w:after="60" w:line="340" w:lineRule="exact"/>
              <w:jc w:val="right"/>
              <w:rPr>
                <w:b/>
                <w:bCs/>
                <w:sz w:val="20"/>
                <w:szCs w:val="20"/>
              </w:rPr>
            </w:pPr>
            <w:r w:rsidRPr="007A296F">
              <w:rPr>
                <w:sz w:val="20"/>
              </w:rPr>
              <w:t>142.8%</w:t>
            </w:r>
          </w:p>
        </w:tc>
      </w:tr>
      <w:tr w:rsidR="00655A4C" w:rsidRPr="007A296F" w14:paraId="74716B1E" w14:textId="77777777" w:rsidTr="004519E3">
        <w:trPr>
          <w:trHeight w:val="273"/>
        </w:trPr>
        <w:tc>
          <w:tcPr>
            <w:tcW w:w="253" w:type="pct"/>
            <w:vMerge/>
            <w:tcMar>
              <w:top w:w="0" w:type="dxa"/>
              <w:left w:w="108" w:type="dxa"/>
              <w:bottom w:w="0" w:type="dxa"/>
              <w:right w:w="108" w:type="dxa"/>
            </w:tcMar>
            <w:vAlign w:val="center"/>
          </w:tcPr>
          <w:p w14:paraId="1DF3D911" w14:textId="77777777" w:rsidR="00655A4C" w:rsidRPr="007A296F" w:rsidRDefault="00655A4C" w:rsidP="00DD5CE3">
            <w:pPr>
              <w:spacing w:before="60" w:after="60" w:line="340" w:lineRule="exact"/>
              <w:jc w:val="center"/>
              <w:rPr>
                <w:b/>
                <w:bCs/>
                <w:sz w:val="20"/>
                <w:szCs w:val="20"/>
              </w:rPr>
            </w:pPr>
          </w:p>
        </w:tc>
        <w:tc>
          <w:tcPr>
            <w:tcW w:w="883" w:type="pct"/>
            <w:tcMar>
              <w:top w:w="0" w:type="dxa"/>
              <w:left w:w="108" w:type="dxa"/>
              <w:bottom w:w="0" w:type="dxa"/>
              <w:right w:w="108" w:type="dxa"/>
            </w:tcMar>
            <w:vAlign w:val="center"/>
          </w:tcPr>
          <w:p w14:paraId="2EDB1939" w14:textId="77777777" w:rsidR="00655A4C" w:rsidRPr="007A296F" w:rsidRDefault="00655A4C" w:rsidP="00DD5CE3">
            <w:pPr>
              <w:spacing w:before="60" w:after="60" w:line="340" w:lineRule="exact"/>
              <w:jc w:val="both"/>
              <w:rPr>
                <w:bCs/>
                <w:i/>
                <w:sz w:val="20"/>
                <w:szCs w:val="20"/>
              </w:rPr>
            </w:pPr>
            <w:r w:rsidRPr="007A296F">
              <w:rPr>
                <w:i/>
                <w:sz w:val="20"/>
              </w:rPr>
              <w:t>In which: Parent Company</w:t>
            </w:r>
          </w:p>
        </w:tc>
        <w:tc>
          <w:tcPr>
            <w:tcW w:w="539" w:type="pct"/>
            <w:tcMar>
              <w:top w:w="0" w:type="dxa"/>
              <w:left w:w="108" w:type="dxa"/>
              <w:bottom w:w="0" w:type="dxa"/>
              <w:right w:w="108" w:type="dxa"/>
            </w:tcMar>
            <w:vAlign w:val="center"/>
          </w:tcPr>
          <w:p w14:paraId="26637474" w14:textId="77777777" w:rsidR="00655A4C" w:rsidRPr="007A296F" w:rsidRDefault="00655A4C" w:rsidP="00DD5CE3">
            <w:pPr>
              <w:spacing w:before="60" w:after="60" w:line="340" w:lineRule="exact"/>
              <w:jc w:val="right"/>
              <w:rPr>
                <w:bCs/>
                <w:sz w:val="20"/>
                <w:szCs w:val="20"/>
              </w:rPr>
            </w:pPr>
            <w:r w:rsidRPr="007A296F">
              <w:rPr>
                <w:sz w:val="20"/>
              </w:rPr>
              <w:t>9,135,595</w:t>
            </w:r>
          </w:p>
        </w:tc>
        <w:tc>
          <w:tcPr>
            <w:tcW w:w="540" w:type="pct"/>
            <w:vAlign w:val="center"/>
          </w:tcPr>
          <w:p w14:paraId="50774A53" w14:textId="77777777" w:rsidR="00655A4C" w:rsidRPr="007A296F" w:rsidRDefault="00655A4C" w:rsidP="00DD5CE3">
            <w:pPr>
              <w:spacing w:before="60" w:after="60" w:line="340" w:lineRule="exact"/>
              <w:ind w:right="116"/>
              <w:jc w:val="right"/>
              <w:rPr>
                <w:sz w:val="20"/>
                <w:szCs w:val="20"/>
              </w:rPr>
            </w:pPr>
            <w:r w:rsidRPr="007A296F">
              <w:rPr>
                <w:sz w:val="20"/>
              </w:rPr>
              <w:t>11,061,549</w:t>
            </w:r>
          </w:p>
        </w:tc>
        <w:tc>
          <w:tcPr>
            <w:tcW w:w="540" w:type="pct"/>
            <w:vAlign w:val="center"/>
          </w:tcPr>
          <w:p w14:paraId="0B6B373C" w14:textId="77777777" w:rsidR="00655A4C" w:rsidRPr="007A296F" w:rsidRDefault="00655A4C" w:rsidP="00DD5CE3">
            <w:pPr>
              <w:spacing w:before="60" w:after="60" w:line="340" w:lineRule="exact"/>
              <w:ind w:right="116"/>
              <w:jc w:val="right"/>
              <w:rPr>
                <w:sz w:val="20"/>
                <w:szCs w:val="20"/>
              </w:rPr>
            </w:pPr>
            <w:r w:rsidRPr="007A296F">
              <w:rPr>
                <w:sz w:val="20"/>
              </w:rPr>
              <w:t>10,613,538</w:t>
            </w:r>
          </w:p>
        </w:tc>
        <w:tc>
          <w:tcPr>
            <w:tcW w:w="540" w:type="pct"/>
            <w:vAlign w:val="center"/>
          </w:tcPr>
          <w:p w14:paraId="2B32AD8C" w14:textId="77777777" w:rsidR="00655A4C" w:rsidRPr="007A296F" w:rsidRDefault="00655A4C" w:rsidP="00DD5CE3">
            <w:pPr>
              <w:spacing w:before="60" w:after="60" w:line="340" w:lineRule="exact"/>
              <w:ind w:right="116"/>
              <w:jc w:val="right"/>
              <w:rPr>
                <w:sz w:val="20"/>
                <w:szCs w:val="20"/>
              </w:rPr>
            </w:pPr>
            <w:r w:rsidRPr="007A296F">
              <w:rPr>
                <w:sz w:val="20"/>
              </w:rPr>
              <w:t>10,958,903</w:t>
            </w:r>
          </w:p>
        </w:tc>
        <w:tc>
          <w:tcPr>
            <w:tcW w:w="540" w:type="pct"/>
            <w:tcMar>
              <w:top w:w="0" w:type="dxa"/>
              <w:left w:w="108" w:type="dxa"/>
              <w:bottom w:w="0" w:type="dxa"/>
              <w:right w:w="108" w:type="dxa"/>
            </w:tcMar>
            <w:vAlign w:val="center"/>
          </w:tcPr>
          <w:p w14:paraId="5238A8E7" w14:textId="77777777" w:rsidR="00655A4C" w:rsidRPr="007A296F" w:rsidRDefault="00655A4C" w:rsidP="00DD5CE3">
            <w:pPr>
              <w:spacing w:before="60" w:after="60" w:line="340" w:lineRule="exact"/>
              <w:jc w:val="right"/>
              <w:rPr>
                <w:sz w:val="20"/>
                <w:szCs w:val="20"/>
              </w:rPr>
            </w:pPr>
            <w:r w:rsidRPr="007A296F">
              <w:rPr>
                <w:sz w:val="20"/>
              </w:rPr>
              <w:t>11,913,058</w:t>
            </w:r>
          </w:p>
        </w:tc>
        <w:tc>
          <w:tcPr>
            <w:tcW w:w="540" w:type="pct"/>
            <w:vAlign w:val="center"/>
          </w:tcPr>
          <w:p w14:paraId="62B485F9" w14:textId="77777777" w:rsidR="00655A4C" w:rsidRPr="007A296F" w:rsidRDefault="00655A4C" w:rsidP="00DD5CE3">
            <w:pPr>
              <w:spacing w:before="60" w:after="60" w:line="340" w:lineRule="exact"/>
              <w:ind w:right="116"/>
              <w:jc w:val="right"/>
              <w:rPr>
                <w:sz w:val="20"/>
                <w:szCs w:val="20"/>
              </w:rPr>
            </w:pPr>
            <w:r w:rsidRPr="007A296F">
              <w:rPr>
                <w:sz w:val="20"/>
              </w:rPr>
              <w:t>100.4%</w:t>
            </w:r>
          </w:p>
        </w:tc>
        <w:tc>
          <w:tcPr>
            <w:tcW w:w="624" w:type="pct"/>
            <w:tcMar>
              <w:top w:w="0" w:type="dxa"/>
              <w:left w:w="108" w:type="dxa"/>
              <w:bottom w:w="0" w:type="dxa"/>
              <w:right w:w="108" w:type="dxa"/>
            </w:tcMar>
            <w:vAlign w:val="center"/>
          </w:tcPr>
          <w:p w14:paraId="42849C6A" w14:textId="77777777" w:rsidR="00655A4C" w:rsidRPr="007A296F" w:rsidRDefault="00655A4C" w:rsidP="00DD5CE3">
            <w:pPr>
              <w:spacing w:before="60" w:after="60" w:line="340" w:lineRule="exact"/>
              <w:jc w:val="right"/>
              <w:rPr>
                <w:sz w:val="20"/>
                <w:szCs w:val="20"/>
              </w:rPr>
            </w:pPr>
            <w:r w:rsidRPr="007A296F">
              <w:rPr>
                <w:sz w:val="20"/>
              </w:rPr>
              <w:t>130.4%</w:t>
            </w:r>
          </w:p>
        </w:tc>
      </w:tr>
      <w:tr w:rsidR="00655A4C" w:rsidRPr="007A296F" w14:paraId="1F096B95" w14:textId="77777777" w:rsidTr="004519E3">
        <w:trPr>
          <w:trHeight w:val="546"/>
        </w:trPr>
        <w:tc>
          <w:tcPr>
            <w:tcW w:w="253" w:type="pct"/>
            <w:vMerge w:val="restart"/>
            <w:tcMar>
              <w:top w:w="0" w:type="dxa"/>
              <w:left w:w="108" w:type="dxa"/>
              <w:bottom w:w="0" w:type="dxa"/>
              <w:right w:w="108" w:type="dxa"/>
            </w:tcMar>
            <w:vAlign w:val="center"/>
            <w:hideMark/>
          </w:tcPr>
          <w:p w14:paraId="3E274B38" w14:textId="77777777" w:rsidR="00655A4C" w:rsidRPr="007A296F" w:rsidRDefault="00655A4C" w:rsidP="00DD5CE3">
            <w:pPr>
              <w:spacing w:before="60" w:after="60" w:line="340" w:lineRule="exact"/>
              <w:jc w:val="center"/>
              <w:rPr>
                <w:b/>
                <w:bCs/>
                <w:sz w:val="20"/>
                <w:szCs w:val="20"/>
              </w:rPr>
            </w:pPr>
            <w:r w:rsidRPr="007A296F">
              <w:rPr>
                <w:b/>
                <w:sz w:val="20"/>
              </w:rPr>
              <w:t>2</w:t>
            </w:r>
          </w:p>
          <w:p w14:paraId="047D7DC9" w14:textId="77777777" w:rsidR="00655A4C" w:rsidRPr="007A296F" w:rsidRDefault="00655A4C" w:rsidP="00DD5CE3">
            <w:pPr>
              <w:spacing w:before="60" w:after="60" w:line="340" w:lineRule="exact"/>
              <w:jc w:val="center"/>
              <w:rPr>
                <w:b/>
                <w:bCs/>
                <w:sz w:val="20"/>
                <w:szCs w:val="20"/>
              </w:rPr>
            </w:pPr>
          </w:p>
        </w:tc>
        <w:tc>
          <w:tcPr>
            <w:tcW w:w="883" w:type="pct"/>
            <w:tcMar>
              <w:top w:w="0" w:type="dxa"/>
              <w:left w:w="108" w:type="dxa"/>
              <w:bottom w:w="0" w:type="dxa"/>
              <w:right w:w="108" w:type="dxa"/>
            </w:tcMar>
            <w:vAlign w:val="center"/>
            <w:hideMark/>
          </w:tcPr>
          <w:p w14:paraId="5D4F44B6" w14:textId="77777777" w:rsidR="00655A4C" w:rsidRPr="007A296F" w:rsidRDefault="00655A4C" w:rsidP="00DD5CE3">
            <w:pPr>
              <w:spacing w:before="60" w:after="60" w:line="340" w:lineRule="exact"/>
              <w:jc w:val="both"/>
              <w:rPr>
                <w:b/>
                <w:bCs/>
                <w:sz w:val="20"/>
                <w:szCs w:val="20"/>
              </w:rPr>
            </w:pPr>
            <w:r w:rsidRPr="007A296F">
              <w:rPr>
                <w:b/>
                <w:sz w:val="20"/>
              </w:rPr>
              <w:t>Consolidated revenue of entire Group (</w:t>
            </w:r>
            <w:r w:rsidRPr="007A296F">
              <w:rPr>
                <w:b/>
                <w:i/>
                <w:sz w:val="20"/>
              </w:rPr>
              <w:t>VND bill.</w:t>
            </w:r>
            <w:r w:rsidRPr="007A296F">
              <w:rPr>
                <w:b/>
                <w:sz w:val="20"/>
              </w:rPr>
              <w:t>)</w:t>
            </w:r>
          </w:p>
        </w:tc>
        <w:tc>
          <w:tcPr>
            <w:tcW w:w="539" w:type="pct"/>
            <w:tcMar>
              <w:top w:w="0" w:type="dxa"/>
              <w:left w:w="108" w:type="dxa"/>
              <w:bottom w:w="0" w:type="dxa"/>
              <w:right w:w="108" w:type="dxa"/>
            </w:tcMar>
            <w:vAlign w:val="center"/>
          </w:tcPr>
          <w:p w14:paraId="450BD8E7" w14:textId="77777777" w:rsidR="00655A4C" w:rsidRPr="007A296F" w:rsidRDefault="00655A4C" w:rsidP="00DD5CE3">
            <w:pPr>
              <w:spacing w:before="60" w:after="60" w:line="340" w:lineRule="exact"/>
              <w:jc w:val="right"/>
              <w:rPr>
                <w:bCs/>
                <w:sz w:val="20"/>
                <w:szCs w:val="20"/>
              </w:rPr>
            </w:pPr>
            <w:r w:rsidRPr="007A296F">
              <w:rPr>
                <w:sz w:val="20"/>
              </w:rPr>
              <w:t>169,009</w:t>
            </w:r>
          </w:p>
        </w:tc>
        <w:tc>
          <w:tcPr>
            <w:tcW w:w="540" w:type="pct"/>
            <w:vAlign w:val="center"/>
          </w:tcPr>
          <w:p w14:paraId="728CE723" w14:textId="77777777" w:rsidR="00655A4C" w:rsidRPr="007A296F" w:rsidRDefault="00655A4C" w:rsidP="00DD5CE3">
            <w:pPr>
              <w:spacing w:before="60" w:after="60" w:line="340" w:lineRule="exact"/>
              <w:ind w:right="116"/>
              <w:jc w:val="right"/>
              <w:rPr>
                <w:sz w:val="20"/>
                <w:szCs w:val="20"/>
              </w:rPr>
            </w:pPr>
            <w:r w:rsidRPr="007A296F">
              <w:rPr>
                <w:sz w:val="20"/>
              </w:rPr>
              <w:t>304,064</w:t>
            </w:r>
          </w:p>
        </w:tc>
        <w:tc>
          <w:tcPr>
            <w:tcW w:w="540" w:type="pct"/>
            <w:vAlign w:val="center"/>
          </w:tcPr>
          <w:p w14:paraId="228C2606" w14:textId="77777777" w:rsidR="00655A4C" w:rsidRPr="007A296F" w:rsidRDefault="00655A4C" w:rsidP="00DD5CE3">
            <w:pPr>
              <w:spacing w:before="60" w:after="60" w:line="340" w:lineRule="exact"/>
              <w:ind w:right="116"/>
              <w:jc w:val="right"/>
              <w:rPr>
                <w:sz w:val="20"/>
                <w:szCs w:val="20"/>
              </w:rPr>
            </w:pPr>
            <w:r w:rsidRPr="007A296F">
              <w:rPr>
                <w:sz w:val="20"/>
              </w:rPr>
              <w:t>273,979</w:t>
            </w:r>
          </w:p>
        </w:tc>
        <w:tc>
          <w:tcPr>
            <w:tcW w:w="540" w:type="pct"/>
            <w:vAlign w:val="center"/>
          </w:tcPr>
          <w:p w14:paraId="759B74D7" w14:textId="77777777" w:rsidR="00655A4C" w:rsidRPr="007A296F" w:rsidRDefault="00655A4C" w:rsidP="00DD5CE3">
            <w:pPr>
              <w:spacing w:before="60" w:after="60" w:line="340" w:lineRule="exact"/>
              <w:ind w:right="116"/>
              <w:jc w:val="right"/>
              <w:rPr>
                <w:sz w:val="20"/>
                <w:szCs w:val="20"/>
              </w:rPr>
            </w:pPr>
            <w:r w:rsidRPr="007A296F">
              <w:rPr>
                <w:sz w:val="20"/>
              </w:rPr>
              <w:t>284,017</w:t>
            </w:r>
          </w:p>
        </w:tc>
        <w:tc>
          <w:tcPr>
            <w:tcW w:w="540" w:type="pct"/>
            <w:tcMar>
              <w:top w:w="0" w:type="dxa"/>
              <w:left w:w="108" w:type="dxa"/>
              <w:bottom w:w="0" w:type="dxa"/>
              <w:right w:w="108" w:type="dxa"/>
            </w:tcMar>
            <w:vAlign w:val="center"/>
          </w:tcPr>
          <w:p w14:paraId="67DE52F1" w14:textId="77777777" w:rsidR="00655A4C" w:rsidRPr="007A296F" w:rsidRDefault="00655A4C" w:rsidP="00DD5CE3">
            <w:pPr>
              <w:spacing w:before="60" w:after="60" w:line="340" w:lineRule="exact"/>
              <w:jc w:val="right"/>
              <w:rPr>
                <w:sz w:val="20"/>
                <w:szCs w:val="20"/>
              </w:rPr>
            </w:pPr>
            <w:r w:rsidRPr="007A296F">
              <w:rPr>
                <w:sz w:val="20"/>
              </w:rPr>
              <w:t>309,924</w:t>
            </w:r>
          </w:p>
        </w:tc>
        <w:tc>
          <w:tcPr>
            <w:tcW w:w="540" w:type="pct"/>
            <w:vAlign w:val="center"/>
          </w:tcPr>
          <w:p w14:paraId="5720C4B0" w14:textId="77777777" w:rsidR="00655A4C" w:rsidRPr="007A296F" w:rsidRDefault="00655A4C" w:rsidP="00DD5CE3">
            <w:pPr>
              <w:spacing w:before="60" w:after="60" w:line="340" w:lineRule="exact"/>
              <w:ind w:right="116"/>
              <w:jc w:val="right"/>
              <w:rPr>
                <w:sz w:val="20"/>
                <w:szCs w:val="20"/>
              </w:rPr>
            </w:pPr>
            <w:r w:rsidRPr="007A296F">
              <w:rPr>
                <w:sz w:val="20"/>
              </w:rPr>
              <w:t>125%</w:t>
            </w:r>
          </w:p>
        </w:tc>
        <w:tc>
          <w:tcPr>
            <w:tcW w:w="624" w:type="pct"/>
            <w:tcMar>
              <w:top w:w="0" w:type="dxa"/>
              <w:left w:w="108" w:type="dxa"/>
              <w:bottom w:w="0" w:type="dxa"/>
              <w:right w:w="108" w:type="dxa"/>
            </w:tcMar>
            <w:vAlign w:val="center"/>
          </w:tcPr>
          <w:p w14:paraId="1F266550" w14:textId="77777777" w:rsidR="00655A4C" w:rsidRPr="007A296F" w:rsidRDefault="00655A4C" w:rsidP="00DD5CE3">
            <w:pPr>
              <w:spacing w:before="60" w:after="60" w:line="340" w:lineRule="exact"/>
              <w:jc w:val="right"/>
              <w:rPr>
                <w:sz w:val="20"/>
                <w:szCs w:val="20"/>
              </w:rPr>
            </w:pPr>
            <w:r w:rsidRPr="007A296F">
              <w:rPr>
                <w:sz w:val="20"/>
              </w:rPr>
              <w:t>183%</w:t>
            </w:r>
          </w:p>
        </w:tc>
      </w:tr>
      <w:tr w:rsidR="00655A4C" w:rsidRPr="007A296F" w14:paraId="13E5C123" w14:textId="77777777" w:rsidTr="004519E3">
        <w:trPr>
          <w:trHeight w:val="132"/>
        </w:trPr>
        <w:tc>
          <w:tcPr>
            <w:tcW w:w="253" w:type="pct"/>
            <w:vMerge/>
            <w:tcMar>
              <w:top w:w="0" w:type="dxa"/>
              <w:left w:w="108" w:type="dxa"/>
              <w:bottom w:w="0" w:type="dxa"/>
              <w:right w:w="108" w:type="dxa"/>
            </w:tcMar>
            <w:vAlign w:val="center"/>
            <w:hideMark/>
          </w:tcPr>
          <w:p w14:paraId="4770EB7A" w14:textId="77777777" w:rsidR="00655A4C" w:rsidRPr="007A296F" w:rsidRDefault="00655A4C" w:rsidP="00DD5CE3">
            <w:pPr>
              <w:spacing w:before="60" w:after="60" w:line="340" w:lineRule="exact"/>
              <w:jc w:val="center"/>
              <w:rPr>
                <w:sz w:val="20"/>
                <w:szCs w:val="20"/>
              </w:rPr>
            </w:pPr>
          </w:p>
        </w:tc>
        <w:tc>
          <w:tcPr>
            <w:tcW w:w="883" w:type="pct"/>
            <w:tcMar>
              <w:top w:w="0" w:type="dxa"/>
              <w:left w:w="108" w:type="dxa"/>
              <w:bottom w:w="0" w:type="dxa"/>
              <w:right w:w="108" w:type="dxa"/>
            </w:tcMar>
            <w:vAlign w:val="center"/>
            <w:hideMark/>
          </w:tcPr>
          <w:p w14:paraId="52067193" w14:textId="77777777" w:rsidR="00655A4C" w:rsidRPr="007A296F" w:rsidRDefault="00655A4C" w:rsidP="00DD5CE3">
            <w:pPr>
              <w:spacing w:before="60" w:after="60" w:line="340" w:lineRule="exact"/>
              <w:jc w:val="both"/>
              <w:rPr>
                <w:i/>
                <w:iCs/>
                <w:sz w:val="20"/>
                <w:szCs w:val="20"/>
              </w:rPr>
            </w:pPr>
            <w:r w:rsidRPr="007A296F">
              <w:rPr>
                <w:i/>
                <w:sz w:val="20"/>
              </w:rPr>
              <w:t>In which: Parent Company</w:t>
            </w:r>
          </w:p>
        </w:tc>
        <w:tc>
          <w:tcPr>
            <w:tcW w:w="539" w:type="pct"/>
            <w:tcMar>
              <w:top w:w="0" w:type="dxa"/>
              <w:left w:w="108" w:type="dxa"/>
              <w:bottom w:w="0" w:type="dxa"/>
              <w:right w:w="108" w:type="dxa"/>
            </w:tcMar>
            <w:vAlign w:val="center"/>
          </w:tcPr>
          <w:p w14:paraId="5C3FEE77" w14:textId="77777777" w:rsidR="00655A4C" w:rsidRPr="007A296F" w:rsidRDefault="00655A4C" w:rsidP="00DD5CE3">
            <w:pPr>
              <w:spacing w:before="60" w:after="60" w:line="340" w:lineRule="exact"/>
              <w:jc w:val="right"/>
              <w:rPr>
                <w:bCs/>
                <w:sz w:val="20"/>
                <w:szCs w:val="20"/>
              </w:rPr>
            </w:pPr>
            <w:r w:rsidRPr="007A296F">
              <w:rPr>
                <w:sz w:val="20"/>
              </w:rPr>
              <w:t>111,018</w:t>
            </w:r>
          </w:p>
        </w:tc>
        <w:tc>
          <w:tcPr>
            <w:tcW w:w="540" w:type="pct"/>
            <w:vAlign w:val="center"/>
          </w:tcPr>
          <w:p w14:paraId="1BAC31CF" w14:textId="77777777" w:rsidR="00655A4C" w:rsidRPr="007A296F" w:rsidRDefault="00655A4C" w:rsidP="00DD5CE3">
            <w:pPr>
              <w:spacing w:before="60" w:after="60" w:line="340" w:lineRule="exact"/>
              <w:ind w:right="116"/>
              <w:jc w:val="right"/>
              <w:rPr>
                <w:sz w:val="20"/>
                <w:szCs w:val="20"/>
              </w:rPr>
            </w:pPr>
            <w:r w:rsidRPr="007A296F">
              <w:rPr>
                <w:sz w:val="20"/>
              </w:rPr>
              <w:t>224,698</w:t>
            </w:r>
          </w:p>
        </w:tc>
        <w:tc>
          <w:tcPr>
            <w:tcW w:w="540" w:type="pct"/>
            <w:vAlign w:val="center"/>
          </w:tcPr>
          <w:p w14:paraId="37FF9F3A" w14:textId="77777777" w:rsidR="00655A4C" w:rsidRPr="007A296F" w:rsidRDefault="00655A4C" w:rsidP="00DD5CE3">
            <w:pPr>
              <w:spacing w:before="60" w:after="60" w:line="340" w:lineRule="exact"/>
              <w:ind w:right="116"/>
              <w:jc w:val="right"/>
              <w:rPr>
                <w:sz w:val="20"/>
                <w:szCs w:val="20"/>
              </w:rPr>
            </w:pPr>
            <w:r w:rsidRPr="007A296F">
              <w:rPr>
                <w:sz w:val="20"/>
              </w:rPr>
              <w:t>184,837</w:t>
            </w:r>
          </w:p>
        </w:tc>
        <w:tc>
          <w:tcPr>
            <w:tcW w:w="540" w:type="pct"/>
            <w:vAlign w:val="center"/>
          </w:tcPr>
          <w:p w14:paraId="648C436B" w14:textId="77777777" w:rsidR="00655A4C" w:rsidRPr="007A296F" w:rsidRDefault="00655A4C" w:rsidP="00DD5CE3">
            <w:pPr>
              <w:spacing w:before="60" w:after="60" w:line="340" w:lineRule="exact"/>
              <w:ind w:right="116"/>
              <w:jc w:val="right"/>
              <w:rPr>
                <w:sz w:val="20"/>
                <w:szCs w:val="20"/>
              </w:rPr>
            </w:pPr>
            <w:r w:rsidRPr="007A296F">
              <w:rPr>
                <w:sz w:val="20"/>
              </w:rPr>
              <w:t>181,815</w:t>
            </w:r>
          </w:p>
        </w:tc>
        <w:tc>
          <w:tcPr>
            <w:tcW w:w="540" w:type="pct"/>
            <w:tcMar>
              <w:top w:w="0" w:type="dxa"/>
              <w:left w:w="108" w:type="dxa"/>
              <w:bottom w:w="0" w:type="dxa"/>
              <w:right w:w="108" w:type="dxa"/>
            </w:tcMar>
            <w:vAlign w:val="center"/>
          </w:tcPr>
          <w:p w14:paraId="7403476B" w14:textId="77777777" w:rsidR="00655A4C" w:rsidRPr="007A296F" w:rsidRDefault="00655A4C" w:rsidP="00DD5CE3">
            <w:pPr>
              <w:spacing w:before="60" w:after="60" w:line="340" w:lineRule="exact"/>
              <w:jc w:val="right"/>
              <w:rPr>
                <w:sz w:val="20"/>
                <w:szCs w:val="20"/>
              </w:rPr>
            </w:pPr>
            <w:r w:rsidRPr="007A296F">
              <w:rPr>
                <w:sz w:val="20"/>
              </w:rPr>
              <w:t>182,803</w:t>
            </w:r>
          </w:p>
        </w:tc>
        <w:tc>
          <w:tcPr>
            <w:tcW w:w="540" w:type="pct"/>
            <w:vAlign w:val="center"/>
          </w:tcPr>
          <w:p w14:paraId="3CD7D51F" w14:textId="77777777" w:rsidR="00655A4C" w:rsidRPr="007A296F" w:rsidRDefault="00655A4C" w:rsidP="00DD5CE3">
            <w:pPr>
              <w:spacing w:before="60" w:after="60" w:line="340" w:lineRule="exact"/>
              <w:ind w:right="116"/>
              <w:jc w:val="right"/>
              <w:rPr>
                <w:sz w:val="20"/>
                <w:szCs w:val="20"/>
              </w:rPr>
            </w:pPr>
            <w:r w:rsidRPr="007A296F">
              <w:rPr>
                <w:sz w:val="20"/>
              </w:rPr>
              <w:t>124%</w:t>
            </w:r>
          </w:p>
        </w:tc>
        <w:tc>
          <w:tcPr>
            <w:tcW w:w="624" w:type="pct"/>
            <w:tcMar>
              <w:top w:w="0" w:type="dxa"/>
              <w:left w:w="108" w:type="dxa"/>
              <w:bottom w:w="0" w:type="dxa"/>
              <w:right w:w="108" w:type="dxa"/>
            </w:tcMar>
            <w:vAlign w:val="center"/>
          </w:tcPr>
          <w:p w14:paraId="3F17ECD7" w14:textId="77777777" w:rsidR="00655A4C" w:rsidRPr="007A296F" w:rsidRDefault="00655A4C" w:rsidP="00DD5CE3">
            <w:pPr>
              <w:spacing w:before="60" w:after="60" w:line="340" w:lineRule="exact"/>
              <w:jc w:val="right"/>
              <w:rPr>
                <w:sz w:val="20"/>
                <w:szCs w:val="20"/>
              </w:rPr>
            </w:pPr>
            <w:r w:rsidRPr="007A296F">
              <w:rPr>
                <w:sz w:val="20"/>
              </w:rPr>
              <w:t>165%</w:t>
            </w:r>
          </w:p>
        </w:tc>
      </w:tr>
      <w:tr w:rsidR="00655A4C" w:rsidRPr="007A296F" w14:paraId="5B6577DF" w14:textId="77777777" w:rsidTr="004519E3">
        <w:trPr>
          <w:trHeight w:val="454"/>
        </w:trPr>
        <w:tc>
          <w:tcPr>
            <w:tcW w:w="253" w:type="pct"/>
            <w:vMerge w:val="restart"/>
            <w:tcMar>
              <w:top w:w="0" w:type="dxa"/>
              <w:left w:w="108" w:type="dxa"/>
              <w:bottom w:w="0" w:type="dxa"/>
              <w:right w:w="108" w:type="dxa"/>
            </w:tcMar>
            <w:vAlign w:val="center"/>
            <w:hideMark/>
          </w:tcPr>
          <w:p w14:paraId="702F04B3" w14:textId="77777777" w:rsidR="00655A4C" w:rsidRPr="007A296F" w:rsidRDefault="00655A4C" w:rsidP="00DD5CE3">
            <w:pPr>
              <w:spacing w:before="60" w:after="60" w:line="340" w:lineRule="exact"/>
              <w:jc w:val="center"/>
              <w:rPr>
                <w:b/>
                <w:bCs/>
                <w:sz w:val="20"/>
                <w:szCs w:val="20"/>
              </w:rPr>
            </w:pPr>
            <w:r w:rsidRPr="007A296F">
              <w:rPr>
                <w:b/>
                <w:sz w:val="20"/>
              </w:rPr>
              <w:t>3</w:t>
            </w:r>
          </w:p>
          <w:p w14:paraId="56D42E94" w14:textId="77777777" w:rsidR="00655A4C" w:rsidRPr="007A296F" w:rsidRDefault="00655A4C" w:rsidP="00DD5CE3">
            <w:pPr>
              <w:spacing w:before="60" w:after="60" w:line="340" w:lineRule="exact"/>
              <w:jc w:val="center"/>
              <w:rPr>
                <w:b/>
                <w:bCs/>
                <w:sz w:val="20"/>
                <w:szCs w:val="20"/>
              </w:rPr>
            </w:pPr>
          </w:p>
        </w:tc>
        <w:tc>
          <w:tcPr>
            <w:tcW w:w="883" w:type="pct"/>
            <w:tcMar>
              <w:top w:w="0" w:type="dxa"/>
              <w:left w:w="108" w:type="dxa"/>
              <w:bottom w:w="0" w:type="dxa"/>
              <w:right w:w="108" w:type="dxa"/>
            </w:tcMar>
            <w:vAlign w:val="center"/>
            <w:hideMark/>
          </w:tcPr>
          <w:p w14:paraId="250BBECE" w14:textId="77777777" w:rsidR="00655A4C" w:rsidRPr="007A296F" w:rsidRDefault="00655A4C" w:rsidP="00DD5CE3">
            <w:pPr>
              <w:spacing w:before="60" w:after="60" w:line="340" w:lineRule="exact"/>
              <w:jc w:val="both"/>
              <w:rPr>
                <w:b/>
                <w:bCs/>
                <w:sz w:val="20"/>
                <w:szCs w:val="20"/>
              </w:rPr>
            </w:pPr>
            <w:r w:rsidRPr="007A296F">
              <w:rPr>
                <w:b/>
                <w:sz w:val="20"/>
              </w:rPr>
              <w:t>Consolidated profit before tax (</w:t>
            </w:r>
            <w:r w:rsidRPr="007A296F">
              <w:rPr>
                <w:b/>
                <w:i/>
                <w:sz w:val="20"/>
              </w:rPr>
              <w:t>VND bill.</w:t>
            </w:r>
            <w:r w:rsidRPr="007A296F">
              <w:rPr>
                <w:b/>
                <w:sz w:val="20"/>
              </w:rPr>
              <w:t>)</w:t>
            </w:r>
          </w:p>
        </w:tc>
        <w:tc>
          <w:tcPr>
            <w:tcW w:w="539" w:type="pct"/>
            <w:tcMar>
              <w:top w:w="0" w:type="dxa"/>
              <w:left w:w="108" w:type="dxa"/>
              <w:bottom w:w="0" w:type="dxa"/>
              <w:right w:w="108" w:type="dxa"/>
            </w:tcMar>
            <w:vAlign w:val="center"/>
          </w:tcPr>
          <w:p w14:paraId="4EA3B2E9" w14:textId="77777777" w:rsidR="00655A4C" w:rsidRPr="007A296F" w:rsidRDefault="00655A4C" w:rsidP="00DD5CE3">
            <w:pPr>
              <w:spacing w:before="60" w:after="60" w:line="340" w:lineRule="exact"/>
              <w:jc w:val="right"/>
              <w:rPr>
                <w:bCs/>
                <w:sz w:val="20"/>
                <w:szCs w:val="20"/>
              </w:rPr>
            </w:pPr>
            <w:r w:rsidRPr="007A296F">
              <w:rPr>
                <w:sz w:val="20"/>
              </w:rPr>
              <w:t>3,789</w:t>
            </w:r>
          </w:p>
        </w:tc>
        <w:tc>
          <w:tcPr>
            <w:tcW w:w="540" w:type="pct"/>
            <w:vAlign w:val="center"/>
          </w:tcPr>
          <w:p w14:paraId="791378D2" w14:textId="77777777" w:rsidR="00655A4C" w:rsidRPr="007A296F" w:rsidRDefault="00655A4C" w:rsidP="00DD5CE3">
            <w:pPr>
              <w:spacing w:before="60" w:after="60" w:line="340" w:lineRule="exact"/>
              <w:ind w:right="116"/>
              <w:jc w:val="right"/>
              <w:rPr>
                <w:sz w:val="20"/>
                <w:szCs w:val="20"/>
              </w:rPr>
            </w:pPr>
            <w:r w:rsidRPr="007A296F">
              <w:rPr>
                <w:sz w:val="20"/>
              </w:rPr>
              <w:t>2,270</w:t>
            </w:r>
          </w:p>
        </w:tc>
        <w:tc>
          <w:tcPr>
            <w:tcW w:w="540" w:type="pct"/>
            <w:vAlign w:val="center"/>
          </w:tcPr>
          <w:p w14:paraId="7B0F0ADE" w14:textId="77777777" w:rsidR="00655A4C" w:rsidRPr="007A296F" w:rsidRDefault="00655A4C" w:rsidP="00DD5CE3">
            <w:pPr>
              <w:spacing w:before="60" w:after="60" w:line="340" w:lineRule="exact"/>
              <w:ind w:right="116"/>
              <w:jc w:val="right"/>
              <w:rPr>
                <w:sz w:val="20"/>
                <w:szCs w:val="20"/>
              </w:rPr>
            </w:pPr>
            <w:r w:rsidRPr="007A296F">
              <w:rPr>
                <w:sz w:val="20"/>
              </w:rPr>
              <w:t>3,947</w:t>
            </w:r>
          </w:p>
        </w:tc>
        <w:tc>
          <w:tcPr>
            <w:tcW w:w="540" w:type="pct"/>
            <w:vAlign w:val="center"/>
          </w:tcPr>
          <w:p w14:paraId="0B20ED26" w14:textId="77777777" w:rsidR="00655A4C" w:rsidRPr="007A296F" w:rsidRDefault="00655A4C" w:rsidP="00DD5CE3">
            <w:pPr>
              <w:spacing w:before="60" w:after="60" w:line="340" w:lineRule="exact"/>
              <w:ind w:right="116"/>
              <w:jc w:val="right"/>
              <w:rPr>
                <w:sz w:val="20"/>
                <w:szCs w:val="20"/>
              </w:rPr>
            </w:pPr>
            <w:r w:rsidRPr="007A296F">
              <w:rPr>
                <w:sz w:val="20"/>
              </w:rPr>
              <w:t>3,972</w:t>
            </w:r>
          </w:p>
        </w:tc>
        <w:tc>
          <w:tcPr>
            <w:tcW w:w="540" w:type="pct"/>
            <w:tcMar>
              <w:top w:w="0" w:type="dxa"/>
              <w:left w:w="108" w:type="dxa"/>
              <w:bottom w:w="0" w:type="dxa"/>
              <w:right w:w="108" w:type="dxa"/>
            </w:tcMar>
            <w:vAlign w:val="center"/>
          </w:tcPr>
          <w:p w14:paraId="09368015" w14:textId="77777777" w:rsidR="00655A4C" w:rsidRPr="007A296F" w:rsidRDefault="00655A4C" w:rsidP="00DD5CE3">
            <w:pPr>
              <w:spacing w:before="60" w:after="60" w:line="340" w:lineRule="exact"/>
              <w:jc w:val="right"/>
              <w:rPr>
                <w:sz w:val="20"/>
                <w:szCs w:val="20"/>
              </w:rPr>
            </w:pPr>
            <w:r w:rsidRPr="007A296F">
              <w:rPr>
                <w:sz w:val="20"/>
              </w:rPr>
              <w:t>3,698</w:t>
            </w:r>
          </w:p>
        </w:tc>
        <w:tc>
          <w:tcPr>
            <w:tcW w:w="540" w:type="pct"/>
            <w:vAlign w:val="center"/>
          </w:tcPr>
          <w:p w14:paraId="0ADC5EBA" w14:textId="77777777" w:rsidR="00655A4C" w:rsidRPr="007A296F" w:rsidRDefault="00655A4C" w:rsidP="00DD5CE3">
            <w:pPr>
              <w:spacing w:before="60" w:after="60" w:line="340" w:lineRule="exact"/>
              <w:ind w:right="116"/>
              <w:jc w:val="right"/>
              <w:rPr>
                <w:sz w:val="20"/>
                <w:szCs w:val="20"/>
              </w:rPr>
            </w:pPr>
            <w:r w:rsidRPr="007A296F">
              <w:rPr>
                <w:sz w:val="20"/>
              </w:rPr>
              <w:t>116%</w:t>
            </w:r>
          </w:p>
        </w:tc>
        <w:tc>
          <w:tcPr>
            <w:tcW w:w="624" w:type="pct"/>
            <w:tcMar>
              <w:top w:w="0" w:type="dxa"/>
              <w:left w:w="108" w:type="dxa"/>
              <w:bottom w:w="0" w:type="dxa"/>
              <w:right w:w="108" w:type="dxa"/>
            </w:tcMar>
            <w:vAlign w:val="center"/>
          </w:tcPr>
          <w:p w14:paraId="432AC8C8" w14:textId="77777777" w:rsidR="00655A4C" w:rsidRPr="007A296F" w:rsidRDefault="00655A4C" w:rsidP="00DD5CE3">
            <w:pPr>
              <w:spacing w:before="60" w:after="60" w:line="340" w:lineRule="exact"/>
              <w:jc w:val="right"/>
              <w:rPr>
                <w:sz w:val="20"/>
                <w:szCs w:val="20"/>
              </w:rPr>
            </w:pPr>
            <w:r w:rsidRPr="007A296F">
              <w:rPr>
                <w:sz w:val="20"/>
              </w:rPr>
              <w:t>98%</w:t>
            </w:r>
          </w:p>
        </w:tc>
      </w:tr>
      <w:tr w:rsidR="00655A4C" w:rsidRPr="007A296F" w14:paraId="54EBEAB6" w14:textId="77777777" w:rsidTr="004519E3">
        <w:trPr>
          <w:trHeight w:val="235"/>
        </w:trPr>
        <w:tc>
          <w:tcPr>
            <w:tcW w:w="253" w:type="pct"/>
            <w:vMerge/>
            <w:tcMar>
              <w:top w:w="0" w:type="dxa"/>
              <w:left w:w="108" w:type="dxa"/>
              <w:bottom w:w="0" w:type="dxa"/>
              <w:right w:w="108" w:type="dxa"/>
            </w:tcMar>
            <w:vAlign w:val="center"/>
            <w:hideMark/>
          </w:tcPr>
          <w:p w14:paraId="5EB49055" w14:textId="77777777" w:rsidR="00655A4C" w:rsidRPr="007A296F" w:rsidRDefault="00655A4C" w:rsidP="00DD5CE3">
            <w:pPr>
              <w:spacing w:before="60" w:after="60" w:line="340" w:lineRule="exact"/>
              <w:jc w:val="center"/>
              <w:rPr>
                <w:sz w:val="20"/>
                <w:szCs w:val="20"/>
              </w:rPr>
            </w:pPr>
          </w:p>
        </w:tc>
        <w:tc>
          <w:tcPr>
            <w:tcW w:w="883" w:type="pct"/>
            <w:tcMar>
              <w:top w:w="0" w:type="dxa"/>
              <w:left w:w="108" w:type="dxa"/>
              <w:bottom w:w="0" w:type="dxa"/>
              <w:right w:w="108" w:type="dxa"/>
            </w:tcMar>
            <w:vAlign w:val="center"/>
            <w:hideMark/>
          </w:tcPr>
          <w:p w14:paraId="5012036A" w14:textId="77777777" w:rsidR="00655A4C" w:rsidRPr="007A296F" w:rsidRDefault="00655A4C" w:rsidP="00DD5CE3">
            <w:pPr>
              <w:spacing w:before="60" w:after="60" w:line="340" w:lineRule="exact"/>
              <w:jc w:val="both"/>
              <w:rPr>
                <w:i/>
                <w:iCs/>
                <w:sz w:val="20"/>
                <w:szCs w:val="20"/>
              </w:rPr>
            </w:pPr>
            <w:r w:rsidRPr="007A296F">
              <w:rPr>
                <w:i/>
                <w:sz w:val="20"/>
              </w:rPr>
              <w:t>In which: Parent Company</w:t>
            </w:r>
          </w:p>
        </w:tc>
        <w:tc>
          <w:tcPr>
            <w:tcW w:w="539" w:type="pct"/>
            <w:tcMar>
              <w:top w:w="0" w:type="dxa"/>
              <w:left w:w="108" w:type="dxa"/>
              <w:bottom w:w="0" w:type="dxa"/>
              <w:right w:w="108" w:type="dxa"/>
            </w:tcMar>
            <w:vAlign w:val="center"/>
          </w:tcPr>
          <w:p w14:paraId="5E19E0FB" w14:textId="77777777" w:rsidR="00655A4C" w:rsidRPr="007A296F" w:rsidRDefault="00655A4C" w:rsidP="00DD5CE3">
            <w:pPr>
              <w:spacing w:before="60" w:after="60" w:line="340" w:lineRule="exact"/>
              <w:jc w:val="right"/>
              <w:rPr>
                <w:bCs/>
                <w:sz w:val="20"/>
                <w:szCs w:val="20"/>
              </w:rPr>
            </w:pPr>
            <w:r w:rsidRPr="007A296F">
              <w:rPr>
                <w:sz w:val="20"/>
              </w:rPr>
              <w:t>1,883</w:t>
            </w:r>
          </w:p>
        </w:tc>
        <w:tc>
          <w:tcPr>
            <w:tcW w:w="540" w:type="pct"/>
            <w:vAlign w:val="center"/>
          </w:tcPr>
          <w:p w14:paraId="21D8F778" w14:textId="77777777" w:rsidR="00655A4C" w:rsidRPr="007A296F" w:rsidRDefault="00655A4C" w:rsidP="00DD5CE3">
            <w:pPr>
              <w:spacing w:before="60" w:after="60" w:line="340" w:lineRule="exact"/>
              <w:ind w:right="116"/>
              <w:jc w:val="right"/>
              <w:rPr>
                <w:sz w:val="20"/>
                <w:szCs w:val="20"/>
              </w:rPr>
            </w:pPr>
            <w:r w:rsidRPr="007A296F">
              <w:rPr>
                <w:sz w:val="20"/>
              </w:rPr>
              <w:t>806</w:t>
            </w:r>
          </w:p>
        </w:tc>
        <w:tc>
          <w:tcPr>
            <w:tcW w:w="540" w:type="pct"/>
            <w:vAlign w:val="center"/>
          </w:tcPr>
          <w:p w14:paraId="1B9A7ADB" w14:textId="77777777" w:rsidR="00655A4C" w:rsidRPr="007A296F" w:rsidRDefault="00655A4C" w:rsidP="00DD5CE3">
            <w:pPr>
              <w:spacing w:before="60" w:after="60" w:line="340" w:lineRule="exact"/>
              <w:ind w:right="116"/>
              <w:jc w:val="right"/>
              <w:rPr>
                <w:sz w:val="20"/>
                <w:szCs w:val="20"/>
              </w:rPr>
            </w:pPr>
            <w:r w:rsidRPr="007A296F">
              <w:rPr>
                <w:sz w:val="20"/>
              </w:rPr>
              <w:t>2,624</w:t>
            </w:r>
          </w:p>
        </w:tc>
        <w:tc>
          <w:tcPr>
            <w:tcW w:w="540" w:type="pct"/>
            <w:vAlign w:val="center"/>
          </w:tcPr>
          <w:p w14:paraId="1067E93F" w14:textId="77777777" w:rsidR="00655A4C" w:rsidRPr="007A296F" w:rsidRDefault="00655A4C" w:rsidP="00DD5CE3">
            <w:pPr>
              <w:spacing w:before="60" w:after="60" w:line="340" w:lineRule="exact"/>
              <w:ind w:right="116"/>
              <w:jc w:val="right"/>
              <w:rPr>
                <w:sz w:val="20"/>
                <w:szCs w:val="20"/>
              </w:rPr>
            </w:pPr>
            <w:r w:rsidRPr="007A296F">
              <w:rPr>
                <w:sz w:val="20"/>
              </w:rPr>
              <w:t>1,935</w:t>
            </w:r>
          </w:p>
        </w:tc>
        <w:tc>
          <w:tcPr>
            <w:tcW w:w="540" w:type="pct"/>
            <w:tcMar>
              <w:top w:w="0" w:type="dxa"/>
              <w:left w:w="108" w:type="dxa"/>
              <w:bottom w:w="0" w:type="dxa"/>
              <w:right w:w="108" w:type="dxa"/>
            </w:tcMar>
            <w:vAlign w:val="center"/>
          </w:tcPr>
          <w:p w14:paraId="7D6BC683" w14:textId="77777777" w:rsidR="00655A4C" w:rsidRPr="007A296F" w:rsidRDefault="00655A4C" w:rsidP="00DD5CE3">
            <w:pPr>
              <w:spacing w:before="60" w:after="60" w:line="340" w:lineRule="exact"/>
              <w:jc w:val="right"/>
              <w:rPr>
                <w:sz w:val="20"/>
                <w:szCs w:val="20"/>
              </w:rPr>
            </w:pPr>
            <w:r w:rsidRPr="007A296F">
              <w:rPr>
                <w:sz w:val="20"/>
              </w:rPr>
              <w:t>2,062</w:t>
            </w:r>
          </w:p>
        </w:tc>
        <w:tc>
          <w:tcPr>
            <w:tcW w:w="540" w:type="pct"/>
            <w:vAlign w:val="center"/>
          </w:tcPr>
          <w:p w14:paraId="2AAB8B5F" w14:textId="77777777" w:rsidR="00655A4C" w:rsidRPr="007A296F" w:rsidRDefault="00655A4C" w:rsidP="00DD5CE3">
            <w:pPr>
              <w:spacing w:before="60" w:after="60" w:line="340" w:lineRule="exact"/>
              <w:ind w:right="116"/>
              <w:jc w:val="right"/>
              <w:rPr>
                <w:sz w:val="20"/>
                <w:szCs w:val="20"/>
              </w:rPr>
            </w:pPr>
            <w:r w:rsidRPr="007A296F">
              <w:rPr>
                <w:sz w:val="20"/>
              </w:rPr>
              <w:t>107%</w:t>
            </w:r>
          </w:p>
        </w:tc>
        <w:tc>
          <w:tcPr>
            <w:tcW w:w="624" w:type="pct"/>
            <w:tcMar>
              <w:top w:w="0" w:type="dxa"/>
              <w:left w:w="108" w:type="dxa"/>
              <w:bottom w:w="0" w:type="dxa"/>
              <w:right w:w="108" w:type="dxa"/>
            </w:tcMar>
            <w:vAlign w:val="center"/>
          </w:tcPr>
          <w:p w14:paraId="120E980D" w14:textId="77777777" w:rsidR="00655A4C" w:rsidRPr="007A296F" w:rsidRDefault="00655A4C" w:rsidP="00DD5CE3">
            <w:pPr>
              <w:spacing w:before="60" w:after="60" w:line="340" w:lineRule="exact"/>
              <w:jc w:val="right"/>
              <w:rPr>
                <w:sz w:val="20"/>
                <w:szCs w:val="20"/>
              </w:rPr>
            </w:pPr>
            <w:r w:rsidRPr="007A296F">
              <w:rPr>
                <w:sz w:val="20"/>
              </w:rPr>
              <w:t>110%</w:t>
            </w:r>
          </w:p>
        </w:tc>
      </w:tr>
      <w:tr w:rsidR="00655A4C" w:rsidRPr="007A296F" w14:paraId="0A25D67D" w14:textId="77777777" w:rsidTr="004519E3">
        <w:trPr>
          <w:trHeight w:val="226"/>
        </w:trPr>
        <w:tc>
          <w:tcPr>
            <w:tcW w:w="253" w:type="pct"/>
            <w:tcMar>
              <w:top w:w="0" w:type="dxa"/>
              <w:left w:w="108" w:type="dxa"/>
              <w:bottom w:w="0" w:type="dxa"/>
              <w:right w:w="108" w:type="dxa"/>
            </w:tcMar>
            <w:vAlign w:val="center"/>
          </w:tcPr>
          <w:p w14:paraId="79982699" w14:textId="77777777" w:rsidR="00655A4C" w:rsidRPr="007A296F" w:rsidRDefault="00655A4C" w:rsidP="00DD5CE3">
            <w:pPr>
              <w:spacing w:before="60" w:after="60" w:line="340" w:lineRule="exact"/>
              <w:jc w:val="center"/>
              <w:rPr>
                <w:b/>
                <w:bCs/>
                <w:sz w:val="20"/>
                <w:szCs w:val="20"/>
              </w:rPr>
            </w:pPr>
            <w:r w:rsidRPr="007A296F">
              <w:rPr>
                <w:b/>
                <w:sz w:val="20"/>
              </w:rPr>
              <w:t>4</w:t>
            </w:r>
          </w:p>
        </w:tc>
        <w:tc>
          <w:tcPr>
            <w:tcW w:w="883" w:type="pct"/>
            <w:tcMar>
              <w:top w:w="0" w:type="dxa"/>
              <w:left w:w="108" w:type="dxa"/>
              <w:bottom w:w="0" w:type="dxa"/>
              <w:right w:w="108" w:type="dxa"/>
            </w:tcMar>
            <w:vAlign w:val="center"/>
          </w:tcPr>
          <w:p w14:paraId="5D0DBDA8" w14:textId="77777777" w:rsidR="00655A4C" w:rsidRPr="007A296F" w:rsidRDefault="00655A4C" w:rsidP="00DD5CE3">
            <w:pPr>
              <w:spacing w:before="60" w:after="60" w:line="340" w:lineRule="exact"/>
              <w:jc w:val="both"/>
              <w:rPr>
                <w:b/>
                <w:bCs/>
                <w:sz w:val="20"/>
                <w:szCs w:val="20"/>
              </w:rPr>
            </w:pPr>
            <w:r w:rsidRPr="007A296F">
              <w:rPr>
                <w:b/>
                <w:sz w:val="20"/>
              </w:rPr>
              <w:t>Dividend distribution</w:t>
            </w:r>
          </w:p>
        </w:tc>
        <w:tc>
          <w:tcPr>
            <w:tcW w:w="539" w:type="pct"/>
            <w:tcMar>
              <w:top w:w="0" w:type="dxa"/>
              <w:left w:w="108" w:type="dxa"/>
              <w:bottom w:w="0" w:type="dxa"/>
              <w:right w:w="108" w:type="dxa"/>
            </w:tcMar>
            <w:vAlign w:val="center"/>
          </w:tcPr>
          <w:p w14:paraId="7331BC75" w14:textId="77777777" w:rsidR="00655A4C" w:rsidRPr="007A296F" w:rsidRDefault="00655A4C" w:rsidP="00DD5CE3">
            <w:pPr>
              <w:spacing w:before="60" w:after="60" w:line="340" w:lineRule="exact"/>
              <w:jc w:val="right"/>
              <w:rPr>
                <w:sz w:val="20"/>
                <w:szCs w:val="20"/>
              </w:rPr>
            </w:pPr>
            <w:r w:rsidRPr="007A296F">
              <w:rPr>
                <w:sz w:val="20"/>
              </w:rPr>
              <w:t>12</w:t>
            </w:r>
          </w:p>
        </w:tc>
        <w:tc>
          <w:tcPr>
            <w:tcW w:w="540" w:type="pct"/>
            <w:vAlign w:val="center"/>
          </w:tcPr>
          <w:p w14:paraId="5617B9F5" w14:textId="77777777" w:rsidR="00655A4C" w:rsidRPr="007A296F" w:rsidRDefault="00655A4C" w:rsidP="00DD5CE3">
            <w:pPr>
              <w:spacing w:before="60" w:after="60" w:line="340" w:lineRule="exact"/>
              <w:ind w:right="116"/>
              <w:jc w:val="right"/>
              <w:rPr>
                <w:sz w:val="20"/>
                <w:szCs w:val="20"/>
              </w:rPr>
            </w:pPr>
            <w:r w:rsidRPr="007A296F">
              <w:rPr>
                <w:sz w:val="20"/>
              </w:rPr>
              <w:t>7</w:t>
            </w:r>
          </w:p>
        </w:tc>
        <w:tc>
          <w:tcPr>
            <w:tcW w:w="540" w:type="pct"/>
            <w:vAlign w:val="center"/>
          </w:tcPr>
          <w:p w14:paraId="6745C3BE" w14:textId="77777777" w:rsidR="00655A4C" w:rsidRPr="007A296F" w:rsidRDefault="00655A4C" w:rsidP="00DD5CE3">
            <w:pPr>
              <w:spacing w:before="60" w:after="60" w:line="340" w:lineRule="exact"/>
              <w:ind w:right="116"/>
              <w:jc w:val="right"/>
              <w:rPr>
                <w:sz w:val="20"/>
                <w:szCs w:val="20"/>
              </w:rPr>
            </w:pPr>
            <w:r w:rsidRPr="007A296F">
              <w:rPr>
                <w:sz w:val="20"/>
              </w:rPr>
              <w:t>15</w:t>
            </w:r>
          </w:p>
        </w:tc>
        <w:tc>
          <w:tcPr>
            <w:tcW w:w="540" w:type="pct"/>
            <w:vAlign w:val="center"/>
          </w:tcPr>
          <w:p w14:paraId="7A7344C2" w14:textId="77777777" w:rsidR="00655A4C" w:rsidRPr="007A296F" w:rsidRDefault="00655A4C" w:rsidP="00DD5CE3">
            <w:pPr>
              <w:spacing w:before="60" w:after="60" w:line="340" w:lineRule="exact"/>
              <w:ind w:right="116"/>
              <w:jc w:val="right"/>
              <w:rPr>
                <w:sz w:val="20"/>
                <w:szCs w:val="20"/>
              </w:rPr>
            </w:pPr>
            <w:r w:rsidRPr="007A296F">
              <w:rPr>
                <w:sz w:val="20"/>
              </w:rPr>
              <w:t>12</w:t>
            </w:r>
          </w:p>
        </w:tc>
        <w:tc>
          <w:tcPr>
            <w:tcW w:w="540" w:type="pct"/>
            <w:tcMar>
              <w:top w:w="0" w:type="dxa"/>
              <w:left w:w="108" w:type="dxa"/>
              <w:bottom w:w="0" w:type="dxa"/>
              <w:right w:w="108" w:type="dxa"/>
            </w:tcMar>
            <w:vAlign w:val="center"/>
          </w:tcPr>
          <w:p w14:paraId="3321C688" w14:textId="3836C2A4" w:rsidR="00655A4C" w:rsidRPr="007A296F" w:rsidRDefault="00655A4C" w:rsidP="00DD5CE3">
            <w:pPr>
              <w:spacing w:before="60" w:after="60" w:line="340" w:lineRule="exact"/>
              <w:ind w:left="-166"/>
              <w:jc w:val="right"/>
              <w:rPr>
                <w:sz w:val="20"/>
                <w:szCs w:val="20"/>
              </w:rPr>
            </w:pPr>
            <w:r w:rsidRPr="007A296F">
              <w:rPr>
                <w:color w:val="EE0000"/>
                <w:sz w:val="20"/>
              </w:rPr>
              <w:t>12%</w:t>
            </w:r>
          </w:p>
        </w:tc>
        <w:tc>
          <w:tcPr>
            <w:tcW w:w="540" w:type="pct"/>
            <w:vAlign w:val="center"/>
          </w:tcPr>
          <w:p w14:paraId="31CA1338" w14:textId="77777777" w:rsidR="00655A4C" w:rsidRPr="007A296F" w:rsidRDefault="00655A4C" w:rsidP="00DD5CE3">
            <w:pPr>
              <w:spacing w:before="60" w:after="60" w:line="340" w:lineRule="exact"/>
              <w:ind w:right="116"/>
              <w:jc w:val="right"/>
              <w:rPr>
                <w:color w:val="EE0000"/>
                <w:sz w:val="20"/>
                <w:szCs w:val="20"/>
              </w:rPr>
            </w:pPr>
            <w:r w:rsidRPr="007A296F">
              <w:rPr>
                <w:color w:val="EE0000"/>
                <w:sz w:val="20"/>
              </w:rPr>
              <w:t>120%</w:t>
            </w:r>
          </w:p>
        </w:tc>
        <w:tc>
          <w:tcPr>
            <w:tcW w:w="624" w:type="pct"/>
            <w:tcMar>
              <w:top w:w="0" w:type="dxa"/>
              <w:left w:w="108" w:type="dxa"/>
              <w:bottom w:w="0" w:type="dxa"/>
              <w:right w:w="108" w:type="dxa"/>
            </w:tcMar>
            <w:vAlign w:val="center"/>
          </w:tcPr>
          <w:p w14:paraId="30500D95" w14:textId="4E83F877" w:rsidR="00655A4C" w:rsidRPr="007A296F" w:rsidRDefault="00A36C3B" w:rsidP="00DD5CE3">
            <w:pPr>
              <w:spacing w:before="60" w:after="60" w:line="340" w:lineRule="exact"/>
              <w:jc w:val="right"/>
              <w:rPr>
                <w:sz w:val="20"/>
                <w:szCs w:val="20"/>
              </w:rPr>
            </w:pPr>
            <w:r w:rsidRPr="007A296F">
              <w:rPr>
                <w:color w:val="EE0000"/>
                <w:sz w:val="20"/>
              </w:rPr>
              <w:t>100%</w:t>
            </w:r>
            <w:r w:rsidRPr="007A296F">
              <w:rPr>
                <w:sz w:val="20"/>
              </w:rPr>
              <w:t xml:space="preserve"> </w:t>
            </w:r>
          </w:p>
        </w:tc>
      </w:tr>
    </w:tbl>
    <w:p w14:paraId="69A0E1D0" w14:textId="166227FD" w:rsidR="004F2D73" w:rsidRPr="007A296F" w:rsidRDefault="004F2D73" w:rsidP="00DD5CE3">
      <w:pPr>
        <w:pStyle w:val="ListParagraph"/>
        <w:numPr>
          <w:ilvl w:val="0"/>
          <w:numId w:val="4"/>
        </w:numPr>
        <w:spacing w:before="240" w:after="120"/>
        <w:ind w:left="714" w:right="130" w:hanging="357"/>
        <w:rPr>
          <w:b/>
          <w:bCs/>
          <w:szCs w:val="26"/>
        </w:rPr>
      </w:pPr>
      <w:r w:rsidRPr="007A296F">
        <w:rPr>
          <w:b/>
        </w:rPr>
        <w:t>Production and business plan orientation in the period of 2026 - 2030</w:t>
      </w:r>
      <w:r w:rsidR="00420E3B" w:rsidRPr="007A296F">
        <w:rPr>
          <w:rStyle w:val="FootnoteReference"/>
          <w:b/>
          <w:bCs/>
          <w:szCs w:val="26"/>
        </w:rPr>
        <w:footnoteReference w:id="3"/>
      </w:r>
      <w:r w:rsidRPr="007A296F">
        <w:rPr>
          <w:b/>
        </w:rPr>
        <w:t xml:space="preserve"> </w:t>
      </w:r>
    </w:p>
    <w:p w14:paraId="5C03DEB9" w14:textId="28538056" w:rsidR="004F2D73" w:rsidRPr="00F60B85" w:rsidRDefault="004F2D73" w:rsidP="004F2D73">
      <w:pPr>
        <w:spacing w:before="60" w:after="60" w:line="360" w:lineRule="exact"/>
        <w:ind w:firstLine="561"/>
        <w:jc w:val="both"/>
        <w:rPr>
          <w:b/>
          <w:i/>
          <w:iCs/>
          <w:szCs w:val="26"/>
        </w:rPr>
      </w:pPr>
      <w:r w:rsidRPr="007A296F">
        <w:rPr>
          <w:b/>
          <w:i/>
        </w:rPr>
        <w:t xml:space="preserve">a. </w:t>
      </w:r>
      <w:r w:rsidR="007521F7" w:rsidRPr="007A296F">
        <w:rPr>
          <w:b/>
          <w:i/>
        </w:rPr>
        <w:t>Sales volume target</w:t>
      </w:r>
      <w:r w:rsidR="007521F7" w:rsidRPr="00F60B85">
        <w:rPr>
          <w:b/>
          <w:i/>
        </w:rPr>
        <w:t>s</w:t>
      </w:r>
      <w:r w:rsidRPr="00F60B85">
        <w:rPr>
          <w:b/>
          <w:i/>
        </w:rPr>
        <w:t xml:space="preserve">: </w:t>
      </w:r>
    </w:p>
    <w:p w14:paraId="1B844A35" w14:textId="77777777" w:rsidR="004F2D73" w:rsidRPr="00F60B85" w:rsidRDefault="004F2D73" w:rsidP="004F2D73">
      <w:pPr>
        <w:spacing w:before="60" w:after="60" w:line="360" w:lineRule="exact"/>
        <w:ind w:firstLine="561"/>
        <w:jc w:val="both"/>
        <w:rPr>
          <w:bCs/>
          <w:szCs w:val="26"/>
        </w:rPr>
      </w:pPr>
      <w:r w:rsidRPr="00F60B85">
        <w:t xml:space="preserve">Assuming the economy grows in line with the Government’s orientation (at least 10% during this period), Petrolimex’s domestic sales by years in the period of 2026 - 2030 are expected to be influenced as follows: </w:t>
      </w:r>
    </w:p>
    <w:p w14:paraId="3D1F956B" w14:textId="266F3777" w:rsidR="004F2D73" w:rsidRPr="00F60B85" w:rsidRDefault="004F2D73" w:rsidP="004F2D73">
      <w:pPr>
        <w:spacing w:before="60" w:after="60" w:line="360" w:lineRule="exact"/>
        <w:ind w:firstLine="561"/>
        <w:jc w:val="both"/>
        <w:rPr>
          <w:bCs/>
          <w:szCs w:val="26"/>
        </w:rPr>
      </w:pPr>
      <w:r w:rsidRPr="00F60B85">
        <w:rPr>
          <w:b/>
        </w:rPr>
        <w:t xml:space="preserve"> </w:t>
      </w:r>
      <w:r w:rsidRPr="00F60B85">
        <w:rPr>
          <w:b/>
          <w:bCs/>
        </w:rPr>
        <w:t>(i)</w:t>
      </w:r>
      <w:r w:rsidRPr="00F60B85">
        <w:t xml:space="preserve"> Period of 2026 - 2027: Growth may </w:t>
      </w:r>
      <w:r w:rsidR="007521F7" w:rsidRPr="00F60B85">
        <w:t>vary</w:t>
      </w:r>
      <w:r w:rsidRPr="007A296F">
        <w:t xml:space="preserve"> </w:t>
      </w:r>
      <w:r w:rsidRPr="00F60B85">
        <w:t xml:space="preserve">between the range of 8.5% and 10%. Growth drivers include the State policies, new highway projects, and general </w:t>
      </w:r>
      <w:r w:rsidRPr="00F60B85">
        <w:lastRenderedPageBreak/>
        <w:t xml:space="preserve">economic demand, partially offsetting early effects of vehicle restrictions and the rise of electric vehicles. </w:t>
      </w:r>
    </w:p>
    <w:p w14:paraId="7FB3EC41" w14:textId="77777777" w:rsidR="004F2D73" w:rsidRPr="00F60B85" w:rsidRDefault="004F2D73" w:rsidP="004F2D73">
      <w:pPr>
        <w:spacing w:before="60" w:after="60" w:line="360" w:lineRule="exact"/>
        <w:ind w:firstLine="561"/>
        <w:jc w:val="both"/>
        <w:rPr>
          <w:bCs/>
          <w:szCs w:val="26"/>
        </w:rPr>
      </w:pPr>
      <w:r w:rsidRPr="00F60B85">
        <w:t>- Economic growth remains the main driver. New highways to be put into operation shall promote the demand.</w:t>
      </w:r>
    </w:p>
    <w:p w14:paraId="347B7745" w14:textId="19023712" w:rsidR="004F2D73" w:rsidRPr="007A296F" w:rsidRDefault="004F2D73" w:rsidP="004F2D73">
      <w:pPr>
        <w:spacing w:before="60" w:after="60" w:line="360" w:lineRule="exact"/>
        <w:ind w:firstLine="561"/>
        <w:jc w:val="both"/>
        <w:rPr>
          <w:bCs/>
          <w:szCs w:val="26"/>
        </w:rPr>
      </w:pPr>
      <w:r w:rsidRPr="00F60B85">
        <w:t xml:space="preserve">- Electric vehicles begin to have noticeable impact but do not dominate the market. </w:t>
      </w:r>
      <w:r w:rsidR="005D6FDA" w:rsidRPr="00F60B85">
        <w:t>Number of internal combustion engine vehicles remains</w:t>
      </w:r>
      <w:r w:rsidRPr="00F60B85">
        <w:t xml:space="preserve"> prevalent. </w:t>
      </w:r>
    </w:p>
    <w:p w14:paraId="7F9B5D11" w14:textId="77777777" w:rsidR="004F2D73" w:rsidRPr="007A296F" w:rsidRDefault="004F2D73" w:rsidP="004F2D73">
      <w:pPr>
        <w:spacing w:before="60" w:after="60" w:line="360" w:lineRule="exact"/>
        <w:ind w:firstLine="561"/>
        <w:jc w:val="both"/>
        <w:rPr>
          <w:bCs/>
          <w:szCs w:val="26"/>
        </w:rPr>
      </w:pPr>
      <w:r w:rsidRPr="007A296F">
        <w:t>- The urban vehicle restriction policies for inner cities, starting in 2027, shall gradually affect sales in major cities by the end of this period.</w:t>
      </w:r>
    </w:p>
    <w:p w14:paraId="064E4E90" w14:textId="77777777" w:rsidR="004F2D73" w:rsidRPr="007A296F" w:rsidRDefault="004F2D73" w:rsidP="004F2D73">
      <w:pPr>
        <w:spacing w:before="60" w:after="60" w:line="360" w:lineRule="exact"/>
        <w:ind w:firstLine="561"/>
        <w:jc w:val="both"/>
        <w:rPr>
          <w:bCs/>
          <w:szCs w:val="26"/>
        </w:rPr>
      </w:pPr>
      <w:r w:rsidRPr="007A296F">
        <w:t>- Petrolimex, as the role of assuring the stable supply source and highway/outskirt network expansion, may maintain modest positive growth rate, though lower than previous periods and potentially below the general GDP growth.</w:t>
      </w:r>
    </w:p>
    <w:p w14:paraId="0528A7AF" w14:textId="77777777" w:rsidR="004F2D73" w:rsidRPr="007A296F" w:rsidRDefault="004F2D73" w:rsidP="004F2D73">
      <w:pPr>
        <w:spacing w:before="60" w:after="60" w:line="360" w:lineRule="exact"/>
        <w:ind w:firstLine="561"/>
        <w:jc w:val="both"/>
        <w:rPr>
          <w:bCs/>
          <w:szCs w:val="26"/>
        </w:rPr>
      </w:pPr>
      <w:r w:rsidRPr="007A296F">
        <w:rPr>
          <w:b/>
          <w:bCs/>
        </w:rPr>
        <w:t>(ii)</w:t>
      </w:r>
      <w:r w:rsidRPr="007A296F">
        <w:t xml:space="preserve"> Period of 2028 - 2030: Growth is expected to slow, from 6 to 7%. At this time, it recognizes stronger impacts from electric vehicles, green fuels, and vehicle restriction policies. </w:t>
      </w:r>
    </w:p>
    <w:p w14:paraId="03B58EFD" w14:textId="77777777" w:rsidR="004F2D73" w:rsidRPr="007A296F" w:rsidRDefault="004F2D73" w:rsidP="004F2D73">
      <w:pPr>
        <w:spacing w:before="60" w:after="60" w:line="360" w:lineRule="exact"/>
        <w:ind w:firstLine="561"/>
        <w:jc w:val="both"/>
        <w:rPr>
          <w:bCs/>
          <w:szCs w:val="26"/>
        </w:rPr>
      </w:pPr>
      <w:r w:rsidRPr="007A296F">
        <w:t>- EV impacts shall be stronger with lower EV costs, better charging infrastructure, and supportive policies.</w:t>
      </w:r>
    </w:p>
    <w:p w14:paraId="673B2C0A" w14:textId="77777777" w:rsidR="004F2D73" w:rsidRPr="007A296F" w:rsidRDefault="004F2D73" w:rsidP="004F2D73">
      <w:pPr>
        <w:spacing w:before="60" w:after="60" w:line="360" w:lineRule="exact"/>
        <w:ind w:firstLine="561"/>
        <w:jc w:val="both"/>
        <w:rPr>
          <w:bCs/>
          <w:szCs w:val="26"/>
        </w:rPr>
      </w:pPr>
      <w:r w:rsidRPr="007A296F">
        <w:t>- Stricter implementation of fuel vehicle restrictions in major cities shall reduce sales in these areas.</w:t>
      </w:r>
    </w:p>
    <w:p w14:paraId="64157B4F" w14:textId="77777777" w:rsidR="004F2D73" w:rsidRPr="007A296F" w:rsidRDefault="004F2D73" w:rsidP="004F2D73">
      <w:pPr>
        <w:spacing w:before="60" w:after="60" w:line="360" w:lineRule="exact"/>
        <w:ind w:firstLine="561"/>
        <w:jc w:val="both"/>
        <w:rPr>
          <w:bCs/>
          <w:szCs w:val="26"/>
        </w:rPr>
      </w:pPr>
      <w:r w:rsidRPr="007A296F">
        <w:t xml:space="preserve">- Economic growth and freight demand may offset only part of the decline from the above factors, leading to plateauing or peak of traditional fuel sales. </w:t>
      </w:r>
    </w:p>
    <w:p w14:paraId="27287352" w14:textId="77777777" w:rsidR="004F2D73" w:rsidRPr="007A296F" w:rsidRDefault="004F2D73" w:rsidP="004F2D73">
      <w:pPr>
        <w:spacing w:before="60" w:after="60" w:line="360" w:lineRule="exact"/>
        <w:ind w:firstLine="561"/>
        <w:jc w:val="both"/>
        <w:rPr>
          <w:bCs/>
          <w:szCs w:val="26"/>
        </w:rPr>
      </w:pPr>
      <w:r w:rsidRPr="007A296F">
        <w:t>With the above judgments, Petrolimex expects to target an average annual domestic sales growth of approximately 7%/p.a for the period of 2026-2030.</w:t>
      </w:r>
    </w:p>
    <w:p w14:paraId="55DCE0A9" w14:textId="77777777" w:rsidR="004F2D73" w:rsidRPr="007A296F" w:rsidRDefault="004F2D73" w:rsidP="004F2D73">
      <w:pPr>
        <w:spacing w:before="60" w:after="60" w:line="360" w:lineRule="exact"/>
        <w:ind w:firstLine="561"/>
        <w:jc w:val="both"/>
        <w:rPr>
          <w:b/>
          <w:i/>
          <w:iCs/>
          <w:szCs w:val="26"/>
        </w:rPr>
      </w:pPr>
      <w:r w:rsidRPr="007A296F">
        <w:rPr>
          <w:b/>
          <w:i/>
        </w:rPr>
        <w:t>b. Financial indicators:</w:t>
      </w:r>
    </w:p>
    <w:p w14:paraId="15A3A55D" w14:textId="77777777" w:rsidR="004F2D73" w:rsidRPr="007A296F" w:rsidRDefault="004F2D73" w:rsidP="004F2D73">
      <w:pPr>
        <w:spacing w:before="60" w:after="60" w:line="360" w:lineRule="exact"/>
        <w:ind w:firstLine="561"/>
        <w:jc w:val="both"/>
        <w:rPr>
          <w:bCs/>
          <w:szCs w:val="26"/>
        </w:rPr>
      </w:pPr>
      <w:r w:rsidRPr="007A296F">
        <w:t>Fuel business is directly and highly sensitive to global oil prices. Assuming that global oil prices experience narrow-range fluctuations and remain consistent with the 2021–2025 average price of oil, the Group’s projections are described as follows:</w:t>
      </w:r>
    </w:p>
    <w:p w14:paraId="420B9ED3" w14:textId="77777777" w:rsidR="004F2D73" w:rsidRPr="007A296F" w:rsidRDefault="004F2D73" w:rsidP="004F2D73">
      <w:pPr>
        <w:spacing w:before="60" w:after="60" w:line="360" w:lineRule="exact"/>
        <w:ind w:firstLine="561"/>
        <w:jc w:val="both"/>
        <w:rPr>
          <w:bCs/>
          <w:szCs w:val="26"/>
        </w:rPr>
      </w:pPr>
      <w:r w:rsidRPr="007A296F">
        <w:rPr>
          <w:b/>
        </w:rPr>
        <w:t>(i)</w:t>
      </w:r>
      <w:r w:rsidRPr="007A296F">
        <w:t xml:space="preserve"> The Group's revenue in the period of 2026-2030 aims at average growth rate of at least 7%/p.a, not lower than the expected output growth rate.</w:t>
      </w:r>
    </w:p>
    <w:p w14:paraId="52D8EDC7" w14:textId="13AF8A01" w:rsidR="004F2D73" w:rsidRPr="007A296F" w:rsidRDefault="004F2D73" w:rsidP="004F2D73">
      <w:pPr>
        <w:spacing w:before="60" w:after="60" w:line="360" w:lineRule="exact"/>
        <w:ind w:firstLine="561"/>
        <w:jc w:val="both"/>
        <w:rPr>
          <w:bCs/>
          <w:szCs w:val="26"/>
        </w:rPr>
      </w:pPr>
      <w:r w:rsidRPr="007A296F">
        <w:rPr>
          <w:b/>
        </w:rPr>
        <w:t>(ii)</w:t>
      </w:r>
      <w:r w:rsidRPr="007A296F">
        <w:t xml:space="preserve"> The Group’s profit in the period of 2026-2030 targets an average annual profit growth of 6%-7%.</w:t>
      </w:r>
    </w:p>
    <w:p w14:paraId="6726BF10" w14:textId="77777777" w:rsidR="004F2D73" w:rsidRPr="007A296F" w:rsidRDefault="004F2D73" w:rsidP="004F2D73">
      <w:pPr>
        <w:spacing w:before="60" w:after="60" w:line="360" w:lineRule="exact"/>
        <w:ind w:firstLine="561"/>
        <w:jc w:val="both"/>
        <w:rPr>
          <w:bCs/>
          <w:i/>
          <w:iCs/>
          <w:szCs w:val="26"/>
        </w:rPr>
      </w:pPr>
      <w:r w:rsidRPr="007A296F">
        <w:rPr>
          <w:b/>
        </w:rPr>
        <w:t>(iii)</w:t>
      </w:r>
      <w:r w:rsidRPr="007A296F">
        <w:t xml:space="preserve"> The Group’s State budget contribution in the period of 2026-2030 is expected to grow by an average of 18%/p.a. </w:t>
      </w:r>
      <w:r w:rsidRPr="007A296F">
        <w:rPr>
          <w:i/>
          <w:iCs/>
        </w:rPr>
        <w:t>(This increase is driven by a 7% average annual output growth and the restoration of Environmental Protection Tax rates on petroleum products, valid on January 1, 2026, in accordance with the Resolution No. 579/2018/UBTVQH14).</w:t>
      </w:r>
    </w:p>
    <w:p w14:paraId="7D05FBFC" w14:textId="3725C3CA" w:rsidR="004F2D73" w:rsidRPr="00F60B85" w:rsidRDefault="004F2D73" w:rsidP="004F2D73">
      <w:pPr>
        <w:spacing w:after="0"/>
        <w:ind w:right="130"/>
        <w:rPr>
          <w:b/>
          <w:bCs/>
          <w:szCs w:val="26"/>
        </w:rPr>
      </w:pPr>
      <w:r w:rsidRPr="007A296F">
        <w:rPr>
          <w:b/>
        </w:rPr>
        <w:t>(iv)</w:t>
      </w:r>
      <w:r w:rsidRPr="007A296F">
        <w:t xml:space="preserve"> The Parent Company’s ROE </w:t>
      </w:r>
      <w:bookmarkStart w:id="2" w:name="_GoBack"/>
      <w:r w:rsidRPr="007A296F">
        <w:t xml:space="preserve">is </w:t>
      </w:r>
      <w:bookmarkEnd w:id="2"/>
      <w:r w:rsidRPr="007A296F">
        <w:t>targeted at 6%-7%</w:t>
      </w:r>
      <w:r w:rsidR="007521F7" w:rsidRPr="007A296F">
        <w:t xml:space="preserve"> per year</w:t>
      </w:r>
      <w:r w:rsidRPr="007A296F">
        <w:t xml:space="preserve">; </w:t>
      </w:r>
      <w:r w:rsidR="007521F7" w:rsidRPr="007A296F">
        <w:t xml:space="preserve">with an average dividend payout target of </w:t>
      </w:r>
      <w:r w:rsidRPr="00F60B85">
        <w:t>8-10%</w:t>
      </w:r>
      <w:r w:rsidR="007521F7" w:rsidRPr="00F60B85">
        <w:t xml:space="preserve"> per year.</w:t>
      </w:r>
    </w:p>
    <w:sectPr w:rsidR="004F2D73" w:rsidRPr="00F60B85" w:rsidSect="002C1D77">
      <w:headerReference w:type="default" r:id="rId13"/>
      <w:footerReference w:type="default" r:id="rId14"/>
      <w:pgSz w:w="11907" w:h="16840" w:code="9"/>
      <w:pgMar w:top="1134" w:right="1134" w:bottom="1134" w:left="1701" w:header="284" w:footer="284"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76BCC" w15:done="0"/>
  <w15:commentEx w15:paraId="4A69C480" w15:done="0"/>
  <w15:commentEx w15:paraId="1C970FAD" w15:done="0"/>
  <w15:commentEx w15:paraId="7CE76CF1" w15:done="0"/>
  <w15:commentEx w15:paraId="36A7749E" w15:done="0"/>
  <w15:commentEx w15:paraId="126D4D81" w15:done="0"/>
  <w15:commentEx w15:paraId="0A06F6C3" w15:done="0"/>
  <w15:commentEx w15:paraId="3872C697" w15:done="0"/>
  <w15:commentEx w15:paraId="6C418D6E" w15:done="0"/>
  <w15:commentEx w15:paraId="22FFC9EC" w15:done="0"/>
  <w15:commentEx w15:paraId="47539E33" w15:done="0"/>
  <w15:commentEx w15:paraId="552662DF" w15:done="0"/>
  <w15:commentEx w15:paraId="776B2876" w15:done="0"/>
  <w15:commentEx w15:paraId="69B2C2CC" w15:done="0"/>
  <w15:commentEx w15:paraId="14F328F8" w15:done="0"/>
  <w15:commentEx w15:paraId="11896930" w15:done="0"/>
  <w15:commentEx w15:paraId="2291919B" w15:done="0"/>
  <w15:commentEx w15:paraId="6608E1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B3ADF" w16cex:dateUtc="2026-04-02T07:35:00Z"/>
  <w16cex:commentExtensible w16cex:durableId="1646CF35" w16cex:dateUtc="2026-04-02T07:37:00Z"/>
  <w16cex:commentExtensible w16cex:durableId="62F3233C" w16cex:dateUtc="2026-04-02T08:31:00Z"/>
  <w16cex:commentExtensible w16cex:durableId="6217058B" w16cex:dateUtc="2026-04-02T08:33:00Z"/>
  <w16cex:commentExtensible w16cex:durableId="01252CC6" w16cex:dateUtc="2026-04-02T08:34:00Z"/>
  <w16cex:commentExtensible w16cex:durableId="0B562F2C" w16cex:dateUtc="2026-04-02T08:37:00Z"/>
  <w16cex:commentExtensible w16cex:durableId="6D54364E" w16cex:dateUtc="2026-04-02T08:38:00Z"/>
  <w16cex:commentExtensible w16cex:durableId="32327C0D" w16cex:dateUtc="2026-04-02T08:41:00Z"/>
  <w16cex:commentExtensible w16cex:durableId="65C43ECD" w16cex:dateUtc="2026-04-02T08:42:00Z"/>
  <w16cex:commentExtensible w16cex:durableId="0AA50D49" w16cex:dateUtc="2026-04-02T08:43:00Z"/>
  <w16cex:commentExtensible w16cex:durableId="1D06A595" w16cex:dateUtc="2026-04-02T08:42:00Z"/>
  <w16cex:commentExtensible w16cex:durableId="1EF933E9" w16cex:dateUtc="2026-04-02T08:43:00Z"/>
  <w16cex:commentExtensible w16cex:durableId="5C6F2995" w16cex:dateUtc="2026-04-02T08:44:00Z"/>
  <w16cex:commentExtensible w16cex:durableId="4DA26BB8" w16cex:dateUtc="2026-04-02T08:44:00Z"/>
  <w16cex:commentExtensible w16cex:durableId="2DE463DD" w16cex:dateUtc="2026-04-02T08:45:00Z"/>
  <w16cex:commentExtensible w16cex:durableId="66BE317C" w16cex:dateUtc="2026-04-02T08:46:00Z"/>
  <w16cex:commentExtensible w16cex:durableId="1F63AA8C" w16cex:dateUtc="2026-04-02T08:46:00Z"/>
  <w16cex:commentExtensible w16cex:durableId="717FEF47" w16cex:dateUtc="2026-04-02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76BCC" w16cid:durableId="2C7B3ADF"/>
  <w16cid:commentId w16cid:paraId="4A69C480" w16cid:durableId="1646CF35"/>
  <w16cid:commentId w16cid:paraId="1C970FAD" w16cid:durableId="62F3233C"/>
  <w16cid:commentId w16cid:paraId="7CE76CF1" w16cid:durableId="6217058B"/>
  <w16cid:commentId w16cid:paraId="36A7749E" w16cid:durableId="01252CC6"/>
  <w16cid:commentId w16cid:paraId="126D4D81" w16cid:durableId="0B562F2C"/>
  <w16cid:commentId w16cid:paraId="0A06F6C3" w16cid:durableId="6D54364E"/>
  <w16cid:commentId w16cid:paraId="3872C697" w16cid:durableId="32327C0D"/>
  <w16cid:commentId w16cid:paraId="6C418D6E" w16cid:durableId="65C43ECD"/>
  <w16cid:commentId w16cid:paraId="22FFC9EC" w16cid:durableId="0AA50D49"/>
  <w16cid:commentId w16cid:paraId="47539E33" w16cid:durableId="1D06A595"/>
  <w16cid:commentId w16cid:paraId="552662DF" w16cid:durableId="1EF933E9"/>
  <w16cid:commentId w16cid:paraId="776B2876" w16cid:durableId="5C6F2995"/>
  <w16cid:commentId w16cid:paraId="69B2C2CC" w16cid:durableId="4DA26BB8"/>
  <w16cid:commentId w16cid:paraId="14F328F8" w16cid:durableId="2DE463DD"/>
  <w16cid:commentId w16cid:paraId="11896930" w16cid:durableId="66BE317C"/>
  <w16cid:commentId w16cid:paraId="2291919B" w16cid:durableId="1F63AA8C"/>
  <w16cid:commentId w16cid:paraId="6608E1E0" w16cid:durableId="717FEF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55B5C" w14:textId="77777777" w:rsidR="00864E54" w:rsidRDefault="00864E54">
      <w:pPr>
        <w:spacing w:after="0" w:line="240" w:lineRule="auto"/>
      </w:pPr>
      <w:r>
        <w:separator/>
      </w:r>
    </w:p>
  </w:endnote>
  <w:endnote w:type="continuationSeparator" w:id="0">
    <w:p w14:paraId="41AB9EC9" w14:textId="77777777" w:rsidR="00864E54" w:rsidRDefault="0086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0D57" w14:textId="77777777" w:rsidR="008521F9" w:rsidRPr="0093677E" w:rsidRDefault="008521F9" w:rsidP="00ED2A30">
    <w:pPr>
      <w:spacing w:after="39"/>
      <w:ind w:left="-15" w:right="-6404" w:hanging="15"/>
      <w:rPr>
        <w:rFonts w:eastAsia="Times New Roman"/>
        <w:b/>
        <w:bCs/>
        <w:color w:val="A6A6A6" w:themeColor="background1" w:themeShade="A6"/>
        <w:sz w:val="22"/>
      </w:rPr>
    </w:pPr>
    <w:r>
      <w:rPr>
        <w:b/>
        <w:noProof/>
        <w:color w:val="A6A6A6" w:themeColor="background1" w:themeShade="A6"/>
        <w:sz w:val="22"/>
      </w:rPr>
      <mc:AlternateContent>
        <mc:Choice Requires="wps">
          <w:drawing>
            <wp:anchor distT="0" distB="0" distL="114300" distR="114300" simplePos="0" relativeHeight="251658240" behindDoc="0" locked="0" layoutInCell="1" allowOverlap="1" wp14:anchorId="440C6BA1" wp14:editId="2B89D43C">
              <wp:simplePos x="0" y="0"/>
              <wp:positionH relativeFrom="column">
                <wp:posOffset>-8890</wp:posOffset>
              </wp:positionH>
              <wp:positionV relativeFrom="paragraph">
                <wp:posOffset>142875</wp:posOffset>
              </wp:positionV>
              <wp:extent cx="576000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060DF"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25pt" to="452.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" strokecolor="black [3200]" strokeweight="1pt">
              <v:stroke joinstyle="miter"/>
            </v:line>
          </w:pict>
        </mc:Fallback>
      </mc:AlternateContent>
    </w:r>
  </w:p>
  <w:p w14:paraId="066997F4" w14:textId="77777777" w:rsidR="008521F9" w:rsidRPr="0093677E" w:rsidRDefault="008521F9" w:rsidP="00ED2A30">
    <w:pPr>
      <w:spacing w:after="39"/>
      <w:ind w:left="-15" w:right="-6404" w:hanging="15"/>
      <w:rPr>
        <w:rFonts w:eastAsia="Times New Roman"/>
        <w:color w:val="A6A6A6" w:themeColor="background1" w:themeShade="A6"/>
      </w:rPr>
    </w:pPr>
    <w:r>
      <w:rPr>
        <w:b/>
        <w:bCs/>
        <w:color w:val="A6A6A6" w:themeColor="background1" w:themeShade="A6"/>
        <w:sz w:val="22"/>
      </w:rPr>
      <w:t>Petrolimex</w:t>
    </w:r>
    <w:r>
      <w:rPr>
        <w:color w:val="A6A6A6" w:themeColor="background1" w:themeShade="A6"/>
        <w:sz w:val="22"/>
      </w:rPr>
      <w:tab/>
      <w:t>No. 1 Kham Thien, Van Mieu – Quoc Tu Giam, Hanoi</w:t>
    </w:r>
  </w:p>
  <w:p w14:paraId="1BF71AD9" w14:textId="77777777" w:rsidR="008521F9" w:rsidRPr="00ED2A30" w:rsidRDefault="00864E54" w:rsidP="00ED2A30">
    <w:pPr>
      <w:rPr>
        <w:rFonts w:eastAsia="Times New Roman"/>
        <w:color w:val="A6A6A6" w:themeColor="background1" w:themeShade="A6"/>
      </w:rPr>
    </w:pPr>
    <w:hyperlink r:id="rId1" w:history="1">
      <w:r w:rsidR="008521F9">
        <w:rPr>
          <w:color w:val="A6A6A6" w:themeColor="background1" w:themeShade="A6"/>
          <w:sz w:val="22"/>
        </w:rPr>
        <w:t>www.petrolimex.com.vn</w:t>
      </w:r>
    </w:hyperlink>
    <w:r w:rsidR="008521F9">
      <w:rPr>
        <w:color w:val="A6A6A6" w:themeColor="background1" w:themeShade="A6"/>
        <w:sz w:val="22"/>
      </w:rPr>
      <w:t xml:space="preserve">                      </w:t>
    </w:r>
    <w:r w:rsidR="008521F9">
      <w:rPr>
        <w:b/>
        <w:color w:val="A6A6A6" w:themeColor="background1" w:themeShade="A6"/>
        <w:sz w:val="22"/>
      </w:rPr>
      <w:t>Tel.</w:t>
    </w:r>
    <w:r w:rsidR="008521F9">
      <w:rPr>
        <w:color w:val="A6A6A6" w:themeColor="background1" w:themeShade="A6"/>
        <w:sz w:val="22"/>
      </w:rPr>
      <w:t xml:space="preserve"> (024) 3851-2603   |   </w:t>
    </w:r>
    <w:r w:rsidR="008521F9">
      <w:rPr>
        <w:b/>
        <w:color w:val="A6A6A6" w:themeColor="background1" w:themeShade="A6"/>
        <w:sz w:val="22"/>
      </w:rPr>
      <w:t>Fax</w:t>
    </w:r>
    <w:r w:rsidR="008521F9">
      <w:rPr>
        <w:color w:val="A6A6A6" w:themeColor="background1" w:themeShade="A6"/>
        <w:sz w:val="22"/>
      </w:rPr>
      <w:t xml:space="preserve"> (024) 3851-9203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F4012" w14:textId="77777777" w:rsidR="00864E54" w:rsidRDefault="00864E54">
      <w:pPr>
        <w:spacing w:after="0" w:line="240" w:lineRule="auto"/>
      </w:pPr>
      <w:r>
        <w:separator/>
      </w:r>
    </w:p>
  </w:footnote>
  <w:footnote w:type="continuationSeparator" w:id="0">
    <w:p w14:paraId="3AD2F971" w14:textId="77777777" w:rsidR="00864E54" w:rsidRDefault="00864E54">
      <w:pPr>
        <w:spacing w:after="0" w:line="240" w:lineRule="auto"/>
      </w:pPr>
      <w:r>
        <w:continuationSeparator/>
      </w:r>
    </w:p>
  </w:footnote>
  <w:footnote w:id="1">
    <w:p w14:paraId="26CC0FA8" w14:textId="6A717014" w:rsidR="006E3415" w:rsidRPr="005C4DDA" w:rsidRDefault="006E3415" w:rsidP="006E3415">
      <w:pPr>
        <w:spacing w:after="0" w:line="240" w:lineRule="auto"/>
        <w:ind w:firstLine="562"/>
        <w:jc w:val="both"/>
        <w:rPr>
          <w:bCs/>
          <w:i/>
          <w:iCs/>
          <w:sz w:val="20"/>
          <w:szCs w:val="20"/>
        </w:rPr>
      </w:pPr>
      <w:r>
        <w:rPr>
          <w:rStyle w:val="FootnoteReference"/>
          <w:i/>
          <w:iCs/>
          <w:sz w:val="20"/>
          <w:szCs w:val="20"/>
        </w:rPr>
        <w:footnoteRef/>
      </w:r>
      <w:r>
        <w:rPr>
          <w:i/>
          <w:sz w:val="20"/>
        </w:rPr>
        <w:t xml:space="preserve"> In 2025, total freight transport was estimated to reach 3,027.7 million tons, up 14.1% y.o.y, with freight turnover reaching 612.3 billion ton-kilometers, increase by 13.1%; Passenger transport was estimated at 6,183.6 million passengers, increase by 22.2% y.o.y, with passenger turnover reaching 312.0 billion passenger-kilometers, increase by 13.6% (Source: General Statistics Office of Vietnam).</w:t>
      </w:r>
    </w:p>
    <w:p w14:paraId="6C816D7D" w14:textId="7D8178F8" w:rsidR="006E3415" w:rsidRDefault="006E3415">
      <w:pPr>
        <w:pStyle w:val="FootnoteText"/>
      </w:pPr>
    </w:p>
  </w:footnote>
  <w:footnote w:id="2">
    <w:p w14:paraId="445C47AB" w14:textId="574494A5" w:rsidR="003A14B5" w:rsidRDefault="003A14B5">
      <w:pPr>
        <w:pStyle w:val="FootnoteText"/>
      </w:pPr>
      <w:r>
        <w:rPr>
          <w:rStyle w:val="FootnoteReference"/>
        </w:rPr>
        <w:footnoteRef/>
      </w:r>
      <w:r>
        <w:t xml:space="preserve"> </w:t>
      </w:r>
      <w:r>
        <w:rPr>
          <w:i/>
        </w:rPr>
        <w:t>Expected to submit the 2026 AGM for approval of the 2025 dividend distribution percent of 12%</w:t>
      </w:r>
    </w:p>
  </w:footnote>
  <w:footnote w:id="3">
    <w:p w14:paraId="4EA4E083" w14:textId="3ED4E1C4" w:rsidR="00420E3B" w:rsidRPr="00E92DF5" w:rsidRDefault="00420E3B" w:rsidP="00D83F4F">
      <w:pPr>
        <w:pStyle w:val="FootnoteText"/>
        <w:spacing w:line="240" w:lineRule="exact"/>
        <w:rPr>
          <w:i/>
          <w:iCs/>
        </w:rPr>
      </w:pPr>
      <w:r>
        <w:rPr>
          <w:rStyle w:val="FootnoteReference"/>
          <w:i/>
          <w:iCs/>
        </w:rPr>
        <w:footnoteRef/>
      </w:r>
      <w:r>
        <w:rPr>
          <w:i/>
        </w:rPr>
        <w:t xml:space="preserve"> Figures had been reported to the Ministry of Finance by the State Capital Representative Team at the Group in accordance with the Letter No. 1257/PLX-H</w:t>
      </w:r>
      <w:r w:rsidR="00F60B85">
        <w:rPr>
          <w:i/>
        </w:rPr>
        <w:t>D</w:t>
      </w:r>
      <w:r>
        <w:rPr>
          <w:i/>
        </w:rPr>
        <w:t>QT, dated May 30, 2025 on plan development orientation report in the period of 2026 - 2030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343468"/>
      <w:docPartObj>
        <w:docPartGallery w:val="Page Numbers (Top of Page)"/>
        <w:docPartUnique/>
      </w:docPartObj>
    </w:sdtPr>
    <w:sdtEndPr>
      <w:rPr>
        <w:noProof/>
      </w:rPr>
    </w:sdtEndPr>
    <w:sdtContent>
      <w:p w14:paraId="2802C973" w14:textId="69E60FA1" w:rsidR="009C435F" w:rsidRDefault="009C435F">
        <w:pPr>
          <w:pStyle w:val="Header"/>
          <w:jc w:val="center"/>
        </w:pPr>
        <w:r>
          <w:fldChar w:fldCharType="begin"/>
        </w:r>
        <w:r>
          <w:instrText xml:space="preserve"> PAGE   \* MERGEFORMAT </w:instrText>
        </w:r>
        <w:r>
          <w:fldChar w:fldCharType="separate"/>
        </w:r>
        <w:r w:rsidR="00F32410">
          <w:rPr>
            <w:noProof/>
          </w:rPr>
          <w:t>11</w:t>
        </w:r>
        <w:r>
          <w:fldChar w:fldCharType="end"/>
        </w:r>
      </w:p>
    </w:sdtContent>
  </w:sdt>
  <w:p w14:paraId="412CCEFC" w14:textId="77777777" w:rsidR="009C435F" w:rsidRDefault="009C4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43F"/>
    <w:multiLevelType w:val="hybridMultilevel"/>
    <w:tmpl w:val="7750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80986"/>
    <w:multiLevelType w:val="multilevel"/>
    <w:tmpl w:val="6AA0E7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584941BB"/>
    <w:multiLevelType w:val="hybridMultilevel"/>
    <w:tmpl w:val="CCF2F836"/>
    <w:lvl w:ilvl="0" w:tplc="47C2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32471A"/>
    <w:multiLevelType w:val="hybridMultilevel"/>
    <w:tmpl w:val="77521FCC"/>
    <w:lvl w:ilvl="0" w:tplc="38FA2C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Do Thanh (PETROLIMEX)">
    <w15:presenceInfo w15:providerId="AD" w15:userId="S::longdt2@petrolimex.com.vn::f8fcd5e9-3a3d-4f7e-aed6-3786f804c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F9"/>
    <w:rsid w:val="000014BC"/>
    <w:rsid w:val="00005A8F"/>
    <w:rsid w:val="00011AD6"/>
    <w:rsid w:val="000149D6"/>
    <w:rsid w:val="00017140"/>
    <w:rsid w:val="00017BCA"/>
    <w:rsid w:val="0002030A"/>
    <w:rsid w:val="00023E79"/>
    <w:rsid w:val="00036CA4"/>
    <w:rsid w:val="00056ACB"/>
    <w:rsid w:val="000642AB"/>
    <w:rsid w:val="000670D1"/>
    <w:rsid w:val="000719B5"/>
    <w:rsid w:val="00072D41"/>
    <w:rsid w:val="00074CAD"/>
    <w:rsid w:val="00074F76"/>
    <w:rsid w:val="000835B4"/>
    <w:rsid w:val="00094D29"/>
    <w:rsid w:val="00095AB7"/>
    <w:rsid w:val="000961A6"/>
    <w:rsid w:val="00097A1A"/>
    <w:rsid w:val="000A060B"/>
    <w:rsid w:val="000A3FB3"/>
    <w:rsid w:val="000B462B"/>
    <w:rsid w:val="000C4BF0"/>
    <w:rsid w:val="000C71D3"/>
    <w:rsid w:val="000D03B2"/>
    <w:rsid w:val="000D1335"/>
    <w:rsid w:val="000D3B70"/>
    <w:rsid w:val="000E6F77"/>
    <w:rsid w:val="000E6F7A"/>
    <w:rsid w:val="000F1955"/>
    <w:rsid w:val="000F477D"/>
    <w:rsid w:val="000F571C"/>
    <w:rsid w:val="00102926"/>
    <w:rsid w:val="00102FC9"/>
    <w:rsid w:val="001069D3"/>
    <w:rsid w:val="001135C8"/>
    <w:rsid w:val="00114AFF"/>
    <w:rsid w:val="00120C3C"/>
    <w:rsid w:val="00130CF2"/>
    <w:rsid w:val="00134B2C"/>
    <w:rsid w:val="00135A8E"/>
    <w:rsid w:val="00143ACC"/>
    <w:rsid w:val="001551A9"/>
    <w:rsid w:val="00163680"/>
    <w:rsid w:val="00170E3C"/>
    <w:rsid w:val="00186143"/>
    <w:rsid w:val="00192D57"/>
    <w:rsid w:val="001A1559"/>
    <w:rsid w:val="001A1CC6"/>
    <w:rsid w:val="001A4335"/>
    <w:rsid w:val="001A7380"/>
    <w:rsid w:val="001B0849"/>
    <w:rsid w:val="001B4735"/>
    <w:rsid w:val="001B6CCE"/>
    <w:rsid w:val="001C28EB"/>
    <w:rsid w:val="001C50B3"/>
    <w:rsid w:val="001C7528"/>
    <w:rsid w:val="001D6D3C"/>
    <w:rsid w:val="001E3574"/>
    <w:rsid w:val="001F77B9"/>
    <w:rsid w:val="00200FB6"/>
    <w:rsid w:val="002119DD"/>
    <w:rsid w:val="00212C3B"/>
    <w:rsid w:val="00225A29"/>
    <w:rsid w:val="00232CFD"/>
    <w:rsid w:val="00241857"/>
    <w:rsid w:val="002441C8"/>
    <w:rsid w:val="002451A2"/>
    <w:rsid w:val="00246D99"/>
    <w:rsid w:val="00251C7C"/>
    <w:rsid w:val="00251D00"/>
    <w:rsid w:val="00252B66"/>
    <w:rsid w:val="00253B58"/>
    <w:rsid w:val="002549AE"/>
    <w:rsid w:val="00256324"/>
    <w:rsid w:val="00262C21"/>
    <w:rsid w:val="00263FAB"/>
    <w:rsid w:val="00270FE7"/>
    <w:rsid w:val="002728ED"/>
    <w:rsid w:val="0027356B"/>
    <w:rsid w:val="00280734"/>
    <w:rsid w:val="00282781"/>
    <w:rsid w:val="00290E0B"/>
    <w:rsid w:val="00291C54"/>
    <w:rsid w:val="00293D52"/>
    <w:rsid w:val="002B2FD8"/>
    <w:rsid w:val="002C1D77"/>
    <w:rsid w:val="002C7928"/>
    <w:rsid w:val="002D7963"/>
    <w:rsid w:val="002E6880"/>
    <w:rsid w:val="003150A5"/>
    <w:rsid w:val="003247B5"/>
    <w:rsid w:val="00331019"/>
    <w:rsid w:val="00333B01"/>
    <w:rsid w:val="00333FA6"/>
    <w:rsid w:val="003419CC"/>
    <w:rsid w:val="00354FB9"/>
    <w:rsid w:val="00355B7C"/>
    <w:rsid w:val="00383BAA"/>
    <w:rsid w:val="00384574"/>
    <w:rsid w:val="00392A56"/>
    <w:rsid w:val="0039368E"/>
    <w:rsid w:val="00395B3D"/>
    <w:rsid w:val="003A14B5"/>
    <w:rsid w:val="003A31F3"/>
    <w:rsid w:val="003A41D6"/>
    <w:rsid w:val="003C4465"/>
    <w:rsid w:val="003C4AB0"/>
    <w:rsid w:val="003D1560"/>
    <w:rsid w:val="003D602E"/>
    <w:rsid w:val="003D7BDA"/>
    <w:rsid w:val="003E0BF4"/>
    <w:rsid w:val="003E327D"/>
    <w:rsid w:val="003E5CE1"/>
    <w:rsid w:val="003F221C"/>
    <w:rsid w:val="00401153"/>
    <w:rsid w:val="00403E19"/>
    <w:rsid w:val="004111E4"/>
    <w:rsid w:val="00412FE9"/>
    <w:rsid w:val="00413EF0"/>
    <w:rsid w:val="00420E3B"/>
    <w:rsid w:val="004316C1"/>
    <w:rsid w:val="004427F8"/>
    <w:rsid w:val="00453349"/>
    <w:rsid w:val="00455C13"/>
    <w:rsid w:val="00456927"/>
    <w:rsid w:val="0046300E"/>
    <w:rsid w:val="004631B1"/>
    <w:rsid w:val="00477373"/>
    <w:rsid w:val="00493FAE"/>
    <w:rsid w:val="004A09CD"/>
    <w:rsid w:val="004A44E9"/>
    <w:rsid w:val="004A79A7"/>
    <w:rsid w:val="004B41D9"/>
    <w:rsid w:val="004B7B79"/>
    <w:rsid w:val="004C0E0A"/>
    <w:rsid w:val="004C1335"/>
    <w:rsid w:val="004C7BB0"/>
    <w:rsid w:val="004D677E"/>
    <w:rsid w:val="004E2BEF"/>
    <w:rsid w:val="004F03A5"/>
    <w:rsid w:val="004F2D73"/>
    <w:rsid w:val="00500540"/>
    <w:rsid w:val="00505981"/>
    <w:rsid w:val="00505C99"/>
    <w:rsid w:val="00510FF6"/>
    <w:rsid w:val="00511EE4"/>
    <w:rsid w:val="005143E3"/>
    <w:rsid w:val="0051632E"/>
    <w:rsid w:val="00521FC1"/>
    <w:rsid w:val="005224D3"/>
    <w:rsid w:val="00524520"/>
    <w:rsid w:val="005251C8"/>
    <w:rsid w:val="00532B96"/>
    <w:rsid w:val="0054672A"/>
    <w:rsid w:val="00546D84"/>
    <w:rsid w:val="005505D7"/>
    <w:rsid w:val="00554198"/>
    <w:rsid w:val="00555068"/>
    <w:rsid w:val="00556C12"/>
    <w:rsid w:val="005577E9"/>
    <w:rsid w:val="005608FF"/>
    <w:rsid w:val="00564FE2"/>
    <w:rsid w:val="00566656"/>
    <w:rsid w:val="0057072D"/>
    <w:rsid w:val="0058036C"/>
    <w:rsid w:val="00583D1A"/>
    <w:rsid w:val="00584CB4"/>
    <w:rsid w:val="00584ED2"/>
    <w:rsid w:val="005912FD"/>
    <w:rsid w:val="00594DA8"/>
    <w:rsid w:val="0059661D"/>
    <w:rsid w:val="005A34A1"/>
    <w:rsid w:val="005A601D"/>
    <w:rsid w:val="005A7439"/>
    <w:rsid w:val="005B0719"/>
    <w:rsid w:val="005B33BD"/>
    <w:rsid w:val="005B75DC"/>
    <w:rsid w:val="005C24D2"/>
    <w:rsid w:val="005C4DDA"/>
    <w:rsid w:val="005C68F2"/>
    <w:rsid w:val="005C7D6D"/>
    <w:rsid w:val="005D43F9"/>
    <w:rsid w:val="005D6337"/>
    <w:rsid w:val="005D6FDA"/>
    <w:rsid w:val="005E3CC9"/>
    <w:rsid w:val="005E4890"/>
    <w:rsid w:val="005F4585"/>
    <w:rsid w:val="006014F1"/>
    <w:rsid w:val="006022F5"/>
    <w:rsid w:val="00603700"/>
    <w:rsid w:val="006056CA"/>
    <w:rsid w:val="00610FB9"/>
    <w:rsid w:val="006114AA"/>
    <w:rsid w:val="00612662"/>
    <w:rsid w:val="00622389"/>
    <w:rsid w:val="0062262F"/>
    <w:rsid w:val="0062562F"/>
    <w:rsid w:val="006460D3"/>
    <w:rsid w:val="006475EB"/>
    <w:rsid w:val="006506DD"/>
    <w:rsid w:val="00650F3E"/>
    <w:rsid w:val="006532BE"/>
    <w:rsid w:val="0065462F"/>
    <w:rsid w:val="00655A4C"/>
    <w:rsid w:val="00656575"/>
    <w:rsid w:val="006625D7"/>
    <w:rsid w:val="00663723"/>
    <w:rsid w:val="006640E1"/>
    <w:rsid w:val="006673DC"/>
    <w:rsid w:val="0067051B"/>
    <w:rsid w:val="006767EC"/>
    <w:rsid w:val="00680AE3"/>
    <w:rsid w:val="00680D36"/>
    <w:rsid w:val="00682AD9"/>
    <w:rsid w:val="006832D6"/>
    <w:rsid w:val="00685EEB"/>
    <w:rsid w:val="00691C99"/>
    <w:rsid w:val="006A4007"/>
    <w:rsid w:val="006A609C"/>
    <w:rsid w:val="006A7D4D"/>
    <w:rsid w:val="006A7E81"/>
    <w:rsid w:val="006B0134"/>
    <w:rsid w:val="006B1808"/>
    <w:rsid w:val="006B35EB"/>
    <w:rsid w:val="006C1E45"/>
    <w:rsid w:val="006C3DC2"/>
    <w:rsid w:val="006C71A6"/>
    <w:rsid w:val="006D2CB4"/>
    <w:rsid w:val="006D57C7"/>
    <w:rsid w:val="006E04C0"/>
    <w:rsid w:val="006E3042"/>
    <w:rsid w:val="006E3415"/>
    <w:rsid w:val="006F0B95"/>
    <w:rsid w:val="00703E97"/>
    <w:rsid w:val="00705AF3"/>
    <w:rsid w:val="0072165D"/>
    <w:rsid w:val="007345A8"/>
    <w:rsid w:val="00737F56"/>
    <w:rsid w:val="0074205E"/>
    <w:rsid w:val="00743245"/>
    <w:rsid w:val="00747B6D"/>
    <w:rsid w:val="007512C8"/>
    <w:rsid w:val="007521F7"/>
    <w:rsid w:val="00756C86"/>
    <w:rsid w:val="0076142E"/>
    <w:rsid w:val="00761E30"/>
    <w:rsid w:val="00764757"/>
    <w:rsid w:val="0076532F"/>
    <w:rsid w:val="00765344"/>
    <w:rsid w:val="007658EC"/>
    <w:rsid w:val="0077003F"/>
    <w:rsid w:val="00775F4D"/>
    <w:rsid w:val="00777FEC"/>
    <w:rsid w:val="00780A0D"/>
    <w:rsid w:val="00794787"/>
    <w:rsid w:val="007979A2"/>
    <w:rsid w:val="007A296F"/>
    <w:rsid w:val="007A7A8C"/>
    <w:rsid w:val="007B19B9"/>
    <w:rsid w:val="007B2996"/>
    <w:rsid w:val="007B692A"/>
    <w:rsid w:val="007D23DA"/>
    <w:rsid w:val="007D24F3"/>
    <w:rsid w:val="007E7010"/>
    <w:rsid w:val="007F24E0"/>
    <w:rsid w:val="00807109"/>
    <w:rsid w:val="0081216D"/>
    <w:rsid w:val="00816555"/>
    <w:rsid w:val="00816E94"/>
    <w:rsid w:val="00820F05"/>
    <w:rsid w:val="00843667"/>
    <w:rsid w:val="00847833"/>
    <w:rsid w:val="00850C57"/>
    <w:rsid w:val="008521F9"/>
    <w:rsid w:val="00855B97"/>
    <w:rsid w:val="008577F2"/>
    <w:rsid w:val="00864E54"/>
    <w:rsid w:val="008671B0"/>
    <w:rsid w:val="0087044B"/>
    <w:rsid w:val="008756E3"/>
    <w:rsid w:val="008770CA"/>
    <w:rsid w:val="0088145D"/>
    <w:rsid w:val="008829F3"/>
    <w:rsid w:val="00896A80"/>
    <w:rsid w:val="008A036D"/>
    <w:rsid w:val="008A16FA"/>
    <w:rsid w:val="008A425E"/>
    <w:rsid w:val="008B6CDE"/>
    <w:rsid w:val="008B7B85"/>
    <w:rsid w:val="008C4AA7"/>
    <w:rsid w:val="008D2CDF"/>
    <w:rsid w:val="008D5198"/>
    <w:rsid w:val="008D5D91"/>
    <w:rsid w:val="008E25A2"/>
    <w:rsid w:val="008E2E48"/>
    <w:rsid w:val="008E5408"/>
    <w:rsid w:val="008F373C"/>
    <w:rsid w:val="008F4C1D"/>
    <w:rsid w:val="008F6207"/>
    <w:rsid w:val="009010C3"/>
    <w:rsid w:val="0090303D"/>
    <w:rsid w:val="009060B2"/>
    <w:rsid w:val="0091507B"/>
    <w:rsid w:val="0092048D"/>
    <w:rsid w:val="00920B77"/>
    <w:rsid w:val="00924682"/>
    <w:rsid w:val="00932E0C"/>
    <w:rsid w:val="00945D35"/>
    <w:rsid w:val="00950520"/>
    <w:rsid w:val="00952F4C"/>
    <w:rsid w:val="0095326C"/>
    <w:rsid w:val="0095711B"/>
    <w:rsid w:val="0095711D"/>
    <w:rsid w:val="009573D3"/>
    <w:rsid w:val="00960632"/>
    <w:rsid w:val="00960866"/>
    <w:rsid w:val="0096675D"/>
    <w:rsid w:val="00970A2D"/>
    <w:rsid w:val="00970F2E"/>
    <w:rsid w:val="00973ECB"/>
    <w:rsid w:val="0097465E"/>
    <w:rsid w:val="0097535C"/>
    <w:rsid w:val="00990CD4"/>
    <w:rsid w:val="009A2409"/>
    <w:rsid w:val="009A5AC7"/>
    <w:rsid w:val="009C435F"/>
    <w:rsid w:val="009C490D"/>
    <w:rsid w:val="009C4B56"/>
    <w:rsid w:val="009C5672"/>
    <w:rsid w:val="009C59F7"/>
    <w:rsid w:val="009C5F3B"/>
    <w:rsid w:val="009C7C30"/>
    <w:rsid w:val="009D0E79"/>
    <w:rsid w:val="009D10D7"/>
    <w:rsid w:val="009D2238"/>
    <w:rsid w:val="009E7C76"/>
    <w:rsid w:val="009F33D2"/>
    <w:rsid w:val="00A0141A"/>
    <w:rsid w:val="00A057E7"/>
    <w:rsid w:val="00A138D4"/>
    <w:rsid w:val="00A20DFD"/>
    <w:rsid w:val="00A2103A"/>
    <w:rsid w:val="00A36C3B"/>
    <w:rsid w:val="00A43E78"/>
    <w:rsid w:val="00A47FEE"/>
    <w:rsid w:val="00A54021"/>
    <w:rsid w:val="00A56292"/>
    <w:rsid w:val="00A71A45"/>
    <w:rsid w:val="00A73750"/>
    <w:rsid w:val="00A738CB"/>
    <w:rsid w:val="00A867FB"/>
    <w:rsid w:val="00A93B67"/>
    <w:rsid w:val="00AA11DF"/>
    <w:rsid w:val="00AA3285"/>
    <w:rsid w:val="00AA6633"/>
    <w:rsid w:val="00AB0E7F"/>
    <w:rsid w:val="00AB2A6C"/>
    <w:rsid w:val="00AC2AC9"/>
    <w:rsid w:val="00AD223D"/>
    <w:rsid w:val="00AE21FD"/>
    <w:rsid w:val="00AE2CF8"/>
    <w:rsid w:val="00AF5DAD"/>
    <w:rsid w:val="00AF6D95"/>
    <w:rsid w:val="00B07742"/>
    <w:rsid w:val="00B26511"/>
    <w:rsid w:val="00B41546"/>
    <w:rsid w:val="00B46C89"/>
    <w:rsid w:val="00B61618"/>
    <w:rsid w:val="00B627A4"/>
    <w:rsid w:val="00B651E0"/>
    <w:rsid w:val="00B70CEF"/>
    <w:rsid w:val="00B72C6F"/>
    <w:rsid w:val="00B8689F"/>
    <w:rsid w:val="00B9015B"/>
    <w:rsid w:val="00B9611D"/>
    <w:rsid w:val="00BA0041"/>
    <w:rsid w:val="00BA1C71"/>
    <w:rsid w:val="00BB4AC5"/>
    <w:rsid w:val="00BB61B0"/>
    <w:rsid w:val="00BC0D15"/>
    <w:rsid w:val="00BC4365"/>
    <w:rsid w:val="00BC497B"/>
    <w:rsid w:val="00BD315C"/>
    <w:rsid w:val="00BD3B5E"/>
    <w:rsid w:val="00BD425C"/>
    <w:rsid w:val="00BE4069"/>
    <w:rsid w:val="00BE4404"/>
    <w:rsid w:val="00BE6194"/>
    <w:rsid w:val="00BF0A2D"/>
    <w:rsid w:val="00BF39DE"/>
    <w:rsid w:val="00BF4241"/>
    <w:rsid w:val="00BF6CD2"/>
    <w:rsid w:val="00C075E4"/>
    <w:rsid w:val="00C1276D"/>
    <w:rsid w:val="00C156AA"/>
    <w:rsid w:val="00C161A5"/>
    <w:rsid w:val="00C30C82"/>
    <w:rsid w:val="00C348DD"/>
    <w:rsid w:val="00C47EEB"/>
    <w:rsid w:val="00C57824"/>
    <w:rsid w:val="00C63C13"/>
    <w:rsid w:val="00C64671"/>
    <w:rsid w:val="00C66FF6"/>
    <w:rsid w:val="00C71D93"/>
    <w:rsid w:val="00C73510"/>
    <w:rsid w:val="00C8032F"/>
    <w:rsid w:val="00C86C5B"/>
    <w:rsid w:val="00CA4D82"/>
    <w:rsid w:val="00CA6577"/>
    <w:rsid w:val="00CB6159"/>
    <w:rsid w:val="00CC67B0"/>
    <w:rsid w:val="00CD573F"/>
    <w:rsid w:val="00CD5FCD"/>
    <w:rsid w:val="00CD6560"/>
    <w:rsid w:val="00CE6076"/>
    <w:rsid w:val="00CF6A4A"/>
    <w:rsid w:val="00D03D30"/>
    <w:rsid w:val="00D10C43"/>
    <w:rsid w:val="00D26FA6"/>
    <w:rsid w:val="00D32A70"/>
    <w:rsid w:val="00D43011"/>
    <w:rsid w:val="00D61F98"/>
    <w:rsid w:val="00D63F09"/>
    <w:rsid w:val="00D83F4F"/>
    <w:rsid w:val="00D84CB6"/>
    <w:rsid w:val="00D84F3E"/>
    <w:rsid w:val="00D85626"/>
    <w:rsid w:val="00D90ED4"/>
    <w:rsid w:val="00D96E36"/>
    <w:rsid w:val="00DA1274"/>
    <w:rsid w:val="00DA1EE4"/>
    <w:rsid w:val="00DA337C"/>
    <w:rsid w:val="00DB2A74"/>
    <w:rsid w:val="00DB72F0"/>
    <w:rsid w:val="00DC0834"/>
    <w:rsid w:val="00DC1240"/>
    <w:rsid w:val="00DC261C"/>
    <w:rsid w:val="00DC7569"/>
    <w:rsid w:val="00DD5CE3"/>
    <w:rsid w:val="00DE346C"/>
    <w:rsid w:val="00DF0EED"/>
    <w:rsid w:val="00DF4DDF"/>
    <w:rsid w:val="00E00AF7"/>
    <w:rsid w:val="00E016FC"/>
    <w:rsid w:val="00E01A05"/>
    <w:rsid w:val="00E06794"/>
    <w:rsid w:val="00E21EF1"/>
    <w:rsid w:val="00E23D34"/>
    <w:rsid w:val="00E263F1"/>
    <w:rsid w:val="00E30ADF"/>
    <w:rsid w:val="00E34659"/>
    <w:rsid w:val="00E4320B"/>
    <w:rsid w:val="00E51A06"/>
    <w:rsid w:val="00E563ED"/>
    <w:rsid w:val="00E56E30"/>
    <w:rsid w:val="00E60314"/>
    <w:rsid w:val="00E64AF3"/>
    <w:rsid w:val="00E80E29"/>
    <w:rsid w:val="00E85D0C"/>
    <w:rsid w:val="00E876C7"/>
    <w:rsid w:val="00E92DF5"/>
    <w:rsid w:val="00EA1377"/>
    <w:rsid w:val="00EA1F42"/>
    <w:rsid w:val="00EA3C61"/>
    <w:rsid w:val="00EA3F79"/>
    <w:rsid w:val="00EA3FC7"/>
    <w:rsid w:val="00EB4206"/>
    <w:rsid w:val="00EB66DD"/>
    <w:rsid w:val="00EC19CE"/>
    <w:rsid w:val="00EC22BB"/>
    <w:rsid w:val="00EC2C32"/>
    <w:rsid w:val="00EC417B"/>
    <w:rsid w:val="00EC7D1B"/>
    <w:rsid w:val="00ED664F"/>
    <w:rsid w:val="00F03AA0"/>
    <w:rsid w:val="00F07937"/>
    <w:rsid w:val="00F120B6"/>
    <w:rsid w:val="00F14DCF"/>
    <w:rsid w:val="00F23921"/>
    <w:rsid w:val="00F2661A"/>
    <w:rsid w:val="00F312C2"/>
    <w:rsid w:val="00F31593"/>
    <w:rsid w:val="00F31DE6"/>
    <w:rsid w:val="00F32410"/>
    <w:rsid w:val="00F3353B"/>
    <w:rsid w:val="00F35A02"/>
    <w:rsid w:val="00F35E43"/>
    <w:rsid w:val="00F36B32"/>
    <w:rsid w:val="00F42D39"/>
    <w:rsid w:val="00F42EDE"/>
    <w:rsid w:val="00F4398A"/>
    <w:rsid w:val="00F468F5"/>
    <w:rsid w:val="00F47266"/>
    <w:rsid w:val="00F6007C"/>
    <w:rsid w:val="00F60B85"/>
    <w:rsid w:val="00F71A73"/>
    <w:rsid w:val="00F8202D"/>
    <w:rsid w:val="00F86DB6"/>
    <w:rsid w:val="00F959AA"/>
    <w:rsid w:val="00FA2D46"/>
    <w:rsid w:val="00FA420E"/>
    <w:rsid w:val="00FB1F6B"/>
    <w:rsid w:val="00FC30F0"/>
    <w:rsid w:val="00FE19FB"/>
    <w:rsid w:val="00FF6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F9"/>
    <w:pPr>
      <w:spacing w:line="259"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852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F9"/>
    <w:rPr>
      <w:rFonts w:eastAsiaTheme="majorEastAsia" w:cstheme="majorBidi"/>
      <w:color w:val="272727" w:themeColor="text1" w:themeTint="D8"/>
    </w:rPr>
  </w:style>
  <w:style w:type="paragraph" w:styleId="Title">
    <w:name w:val="Title"/>
    <w:basedOn w:val="Normal"/>
    <w:next w:val="Normal"/>
    <w:link w:val="TitleChar"/>
    <w:uiPriority w:val="10"/>
    <w:qFormat/>
    <w:rsid w:val="0085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F9"/>
    <w:pPr>
      <w:spacing w:before="160"/>
      <w:jc w:val="center"/>
    </w:pPr>
    <w:rPr>
      <w:i/>
      <w:iCs/>
      <w:color w:val="404040" w:themeColor="text1" w:themeTint="BF"/>
    </w:rPr>
  </w:style>
  <w:style w:type="character" w:customStyle="1" w:styleId="QuoteChar">
    <w:name w:val="Quote Char"/>
    <w:basedOn w:val="DefaultParagraphFont"/>
    <w:link w:val="Quote"/>
    <w:uiPriority w:val="29"/>
    <w:rsid w:val="008521F9"/>
    <w:rPr>
      <w:i/>
      <w:iCs/>
      <w:color w:val="404040" w:themeColor="text1" w:themeTint="BF"/>
    </w:rPr>
  </w:style>
  <w:style w:type="paragraph" w:styleId="ListParagraph">
    <w:name w:val="List Paragraph"/>
    <w:basedOn w:val="Normal"/>
    <w:uiPriority w:val="34"/>
    <w:qFormat/>
    <w:rsid w:val="008521F9"/>
    <w:pPr>
      <w:ind w:left="720"/>
      <w:contextualSpacing/>
    </w:pPr>
  </w:style>
  <w:style w:type="character" w:styleId="IntenseEmphasis">
    <w:name w:val="Intense Emphasis"/>
    <w:basedOn w:val="DefaultParagraphFont"/>
    <w:uiPriority w:val="21"/>
    <w:qFormat/>
    <w:rsid w:val="008521F9"/>
    <w:rPr>
      <w:i/>
      <w:iCs/>
      <w:color w:val="0F4761" w:themeColor="accent1" w:themeShade="BF"/>
    </w:rPr>
  </w:style>
  <w:style w:type="paragraph" w:styleId="IntenseQuote">
    <w:name w:val="Intense Quote"/>
    <w:basedOn w:val="Normal"/>
    <w:next w:val="Normal"/>
    <w:link w:val="IntenseQuoteChar"/>
    <w:uiPriority w:val="30"/>
    <w:qFormat/>
    <w:rsid w:val="0085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F9"/>
    <w:rPr>
      <w:i/>
      <w:iCs/>
      <w:color w:val="0F4761" w:themeColor="accent1" w:themeShade="BF"/>
    </w:rPr>
  </w:style>
  <w:style w:type="character" w:styleId="IntenseReference">
    <w:name w:val="Intense Reference"/>
    <w:basedOn w:val="DefaultParagraphFont"/>
    <w:uiPriority w:val="32"/>
    <w:qFormat/>
    <w:rsid w:val="008521F9"/>
    <w:rPr>
      <w:b/>
      <w:bCs/>
      <w:smallCaps/>
      <w:color w:val="0F4761" w:themeColor="accent1" w:themeShade="BF"/>
      <w:spacing w:val="5"/>
    </w:rPr>
  </w:style>
  <w:style w:type="table" w:customStyle="1" w:styleId="TableGrid11">
    <w:name w:val="Table Grid11"/>
    <w:basedOn w:val="TableNormal"/>
    <w:next w:val="TableGrid"/>
    <w:uiPriority w:val="39"/>
    <w:rsid w:val="008521F9"/>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1F9"/>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52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240"/>
    <w:rPr>
      <w:rFonts w:ascii="Times New Roman" w:eastAsia="Calibri" w:hAnsi="Times New Roman" w:cs="Times New Roman"/>
      <w:kern w:val="0"/>
      <w:sz w:val="26"/>
      <w:szCs w:val="22"/>
      <w:lang w:val="en-US"/>
      <w14:ligatures w14:val="none"/>
    </w:rPr>
  </w:style>
  <w:style w:type="paragraph" w:styleId="Footer">
    <w:name w:val="footer"/>
    <w:basedOn w:val="Normal"/>
    <w:link w:val="FooterChar"/>
    <w:uiPriority w:val="99"/>
    <w:unhideWhenUsed/>
    <w:rsid w:val="00DC1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240"/>
    <w:rPr>
      <w:rFonts w:ascii="Times New Roman" w:eastAsia="Calibri" w:hAnsi="Times New Roman" w:cs="Times New Roman"/>
      <w:kern w:val="0"/>
      <w:sz w:val="26"/>
      <w:szCs w:val="22"/>
      <w:lang w:val="en-US"/>
      <w14:ligatures w14:val="none"/>
    </w:rPr>
  </w:style>
  <w:style w:type="paragraph" w:styleId="FootnoteText">
    <w:name w:val="footnote text"/>
    <w:basedOn w:val="Normal"/>
    <w:link w:val="FootnoteTextChar"/>
    <w:uiPriority w:val="99"/>
    <w:semiHidden/>
    <w:unhideWhenUsed/>
    <w:rsid w:val="006E3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415"/>
    <w:rPr>
      <w:rFonts w:ascii="Times New Roman" w:eastAsia="Calibri"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6E3415"/>
    <w:rPr>
      <w:vertAlign w:val="superscript"/>
    </w:rPr>
  </w:style>
  <w:style w:type="paragraph" w:styleId="EndnoteText">
    <w:name w:val="endnote text"/>
    <w:basedOn w:val="Normal"/>
    <w:link w:val="EndnoteTextChar"/>
    <w:uiPriority w:val="99"/>
    <w:semiHidden/>
    <w:unhideWhenUsed/>
    <w:rsid w:val="002119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9DD"/>
    <w:rPr>
      <w:rFonts w:ascii="Times New Roman" w:eastAsia="Calibri"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2119DD"/>
    <w:rPr>
      <w:vertAlign w:val="superscript"/>
    </w:rPr>
  </w:style>
  <w:style w:type="paragraph" w:styleId="BalloonText">
    <w:name w:val="Balloon Text"/>
    <w:basedOn w:val="Normal"/>
    <w:link w:val="BalloonTextChar"/>
    <w:uiPriority w:val="99"/>
    <w:semiHidden/>
    <w:unhideWhenUsed/>
    <w:rsid w:val="005D6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FDA"/>
    <w:rPr>
      <w:rFonts w:ascii="Tahoma" w:eastAsia="Calibri" w:hAnsi="Tahoma" w:cs="Tahoma"/>
      <w:kern w:val="0"/>
      <w:sz w:val="16"/>
      <w:szCs w:val="16"/>
      <w14:ligatures w14:val="none"/>
    </w:rPr>
  </w:style>
  <w:style w:type="character" w:styleId="CommentReference">
    <w:name w:val="annotation reference"/>
    <w:basedOn w:val="DefaultParagraphFont"/>
    <w:uiPriority w:val="99"/>
    <w:semiHidden/>
    <w:unhideWhenUsed/>
    <w:rsid w:val="00920B77"/>
    <w:rPr>
      <w:sz w:val="16"/>
      <w:szCs w:val="16"/>
    </w:rPr>
  </w:style>
  <w:style w:type="paragraph" w:styleId="CommentText">
    <w:name w:val="annotation text"/>
    <w:basedOn w:val="Normal"/>
    <w:link w:val="CommentTextChar"/>
    <w:uiPriority w:val="99"/>
    <w:unhideWhenUsed/>
    <w:rsid w:val="00920B77"/>
    <w:pPr>
      <w:spacing w:line="240" w:lineRule="auto"/>
    </w:pPr>
    <w:rPr>
      <w:sz w:val="20"/>
      <w:szCs w:val="20"/>
    </w:rPr>
  </w:style>
  <w:style w:type="character" w:customStyle="1" w:styleId="CommentTextChar">
    <w:name w:val="Comment Text Char"/>
    <w:basedOn w:val="DefaultParagraphFont"/>
    <w:link w:val="CommentText"/>
    <w:uiPriority w:val="99"/>
    <w:rsid w:val="00920B7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0B77"/>
    <w:rPr>
      <w:b/>
      <w:bCs/>
    </w:rPr>
  </w:style>
  <w:style w:type="character" w:customStyle="1" w:styleId="CommentSubjectChar">
    <w:name w:val="Comment Subject Char"/>
    <w:basedOn w:val="CommentTextChar"/>
    <w:link w:val="CommentSubject"/>
    <w:uiPriority w:val="99"/>
    <w:semiHidden/>
    <w:rsid w:val="00920B77"/>
    <w:rPr>
      <w:rFonts w:ascii="Times New Roman" w:eastAsia="Calibri" w:hAnsi="Times New Roman" w:cs="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F9"/>
    <w:pPr>
      <w:spacing w:line="259"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852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F9"/>
    <w:rPr>
      <w:rFonts w:eastAsiaTheme="majorEastAsia" w:cstheme="majorBidi"/>
      <w:color w:val="272727" w:themeColor="text1" w:themeTint="D8"/>
    </w:rPr>
  </w:style>
  <w:style w:type="paragraph" w:styleId="Title">
    <w:name w:val="Title"/>
    <w:basedOn w:val="Normal"/>
    <w:next w:val="Normal"/>
    <w:link w:val="TitleChar"/>
    <w:uiPriority w:val="10"/>
    <w:qFormat/>
    <w:rsid w:val="0085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F9"/>
    <w:pPr>
      <w:spacing w:before="160"/>
      <w:jc w:val="center"/>
    </w:pPr>
    <w:rPr>
      <w:i/>
      <w:iCs/>
      <w:color w:val="404040" w:themeColor="text1" w:themeTint="BF"/>
    </w:rPr>
  </w:style>
  <w:style w:type="character" w:customStyle="1" w:styleId="QuoteChar">
    <w:name w:val="Quote Char"/>
    <w:basedOn w:val="DefaultParagraphFont"/>
    <w:link w:val="Quote"/>
    <w:uiPriority w:val="29"/>
    <w:rsid w:val="008521F9"/>
    <w:rPr>
      <w:i/>
      <w:iCs/>
      <w:color w:val="404040" w:themeColor="text1" w:themeTint="BF"/>
    </w:rPr>
  </w:style>
  <w:style w:type="paragraph" w:styleId="ListParagraph">
    <w:name w:val="List Paragraph"/>
    <w:basedOn w:val="Normal"/>
    <w:uiPriority w:val="34"/>
    <w:qFormat/>
    <w:rsid w:val="008521F9"/>
    <w:pPr>
      <w:ind w:left="720"/>
      <w:contextualSpacing/>
    </w:pPr>
  </w:style>
  <w:style w:type="character" w:styleId="IntenseEmphasis">
    <w:name w:val="Intense Emphasis"/>
    <w:basedOn w:val="DefaultParagraphFont"/>
    <w:uiPriority w:val="21"/>
    <w:qFormat/>
    <w:rsid w:val="008521F9"/>
    <w:rPr>
      <w:i/>
      <w:iCs/>
      <w:color w:val="0F4761" w:themeColor="accent1" w:themeShade="BF"/>
    </w:rPr>
  </w:style>
  <w:style w:type="paragraph" w:styleId="IntenseQuote">
    <w:name w:val="Intense Quote"/>
    <w:basedOn w:val="Normal"/>
    <w:next w:val="Normal"/>
    <w:link w:val="IntenseQuoteChar"/>
    <w:uiPriority w:val="30"/>
    <w:qFormat/>
    <w:rsid w:val="0085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F9"/>
    <w:rPr>
      <w:i/>
      <w:iCs/>
      <w:color w:val="0F4761" w:themeColor="accent1" w:themeShade="BF"/>
    </w:rPr>
  </w:style>
  <w:style w:type="character" w:styleId="IntenseReference">
    <w:name w:val="Intense Reference"/>
    <w:basedOn w:val="DefaultParagraphFont"/>
    <w:uiPriority w:val="32"/>
    <w:qFormat/>
    <w:rsid w:val="008521F9"/>
    <w:rPr>
      <w:b/>
      <w:bCs/>
      <w:smallCaps/>
      <w:color w:val="0F4761" w:themeColor="accent1" w:themeShade="BF"/>
      <w:spacing w:val="5"/>
    </w:rPr>
  </w:style>
  <w:style w:type="table" w:customStyle="1" w:styleId="TableGrid11">
    <w:name w:val="Table Grid11"/>
    <w:basedOn w:val="TableNormal"/>
    <w:next w:val="TableGrid"/>
    <w:uiPriority w:val="39"/>
    <w:rsid w:val="008521F9"/>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1F9"/>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52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240"/>
    <w:rPr>
      <w:rFonts w:ascii="Times New Roman" w:eastAsia="Calibri" w:hAnsi="Times New Roman" w:cs="Times New Roman"/>
      <w:kern w:val="0"/>
      <w:sz w:val="26"/>
      <w:szCs w:val="22"/>
      <w:lang w:val="en-US"/>
      <w14:ligatures w14:val="none"/>
    </w:rPr>
  </w:style>
  <w:style w:type="paragraph" w:styleId="Footer">
    <w:name w:val="footer"/>
    <w:basedOn w:val="Normal"/>
    <w:link w:val="FooterChar"/>
    <w:uiPriority w:val="99"/>
    <w:unhideWhenUsed/>
    <w:rsid w:val="00DC1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240"/>
    <w:rPr>
      <w:rFonts w:ascii="Times New Roman" w:eastAsia="Calibri" w:hAnsi="Times New Roman" w:cs="Times New Roman"/>
      <w:kern w:val="0"/>
      <w:sz w:val="26"/>
      <w:szCs w:val="22"/>
      <w:lang w:val="en-US"/>
      <w14:ligatures w14:val="none"/>
    </w:rPr>
  </w:style>
  <w:style w:type="paragraph" w:styleId="FootnoteText">
    <w:name w:val="footnote text"/>
    <w:basedOn w:val="Normal"/>
    <w:link w:val="FootnoteTextChar"/>
    <w:uiPriority w:val="99"/>
    <w:semiHidden/>
    <w:unhideWhenUsed/>
    <w:rsid w:val="006E3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415"/>
    <w:rPr>
      <w:rFonts w:ascii="Times New Roman" w:eastAsia="Calibri"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6E3415"/>
    <w:rPr>
      <w:vertAlign w:val="superscript"/>
    </w:rPr>
  </w:style>
  <w:style w:type="paragraph" w:styleId="EndnoteText">
    <w:name w:val="endnote text"/>
    <w:basedOn w:val="Normal"/>
    <w:link w:val="EndnoteTextChar"/>
    <w:uiPriority w:val="99"/>
    <w:semiHidden/>
    <w:unhideWhenUsed/>
    <w:rsid w:val="002119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9DD"/>
    <w:rPr>
      <w:rFonts w:ascii="Times New Roman" w:eastAsia="Calibri"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2119DD"/>
    <w:rPr>
      <w:vertAlign w:val="superscript"/>
    </w:rPr>
  </w:style>
  <w:style w:type="paragraph" w:styleId="BalloonText">
    <w:name w:val="Balloon Text"/>
    <w:basedOn w:val="Normal"/>
    <w:link w:val="BalloonTextChar"/>
    <w:uiPriority w:val="99"/>
    <w:semiHidden/>
    <w:unhideWhenUsed/>
    <w:rsid w:val="005D6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FDA"/>
    <w:rPr>
      <w:rFonts w:ascii="Tahoma" w:eastAsia="Calibri" w:hAnsi="Tahoma" w:cs="Tahoma"/>
      <w:kern w:val="0"/>
      <w:sz w:val="16"/>
      <w:szCs w:val="16"/>
      <w14:ligatures w14:val="none"/>
    </w:rPr>
  </w:style>
  <w:style w:type="character" w:styleId="CommentReference">
    <w:name w:val="annotation reference"/>
    <w:basedOn w:val="DefaultParagraphFont"/>
    <w:uiPriority w:val="99"/>
    <w:semiHidden/>
    <w:unhideWhenUsed/>
    <w:rsid w:val="00920B77"/>
    <w:rPr>
      <w:sz w:val="16"/>
      <w:szCs w:val="16"/>
    </w:rPr>
  </w:style>
  <w:style w:type="paragraph" w:styleId="CommentText">
    <w:name w:val="annotation text"/>
    <w:basedOn w:val="Normal"/>
    <w:link w:val="CommentTextChar"/>
    <w:uiPriority w:val="99"/>
    <w:unhideWhenUsed/>
    <w:rsid w:val="00920B77"/>
    <w:pPr>
      <w:spacing w:line="240" w:lineRule="auto"/>
    </w:pPr>
    <w:rPr>
      <w:sz w:val="20"/>
      <w:szCs w:val="20"/>
    </w:rPr>
  </w:style>
  <w:style w:type="character" w:customStyle="1" w:styleId="CommentTextChar">
    <w:name w:val="Comment Text Char"/>
    <w:basedOn w:val="DefaultParagraphFont"/>
    <w:link w:val="CommentText"/>
    <w:uiPriority w:val="99"/>
    <w:rsid w:val="00920B7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0B77"/>
    <w:rPr>
      <w:b/>
      <w:bCs/>
    </w:rPr>
  </w:style>
  <w:style w:type="character" w:customStyle="1" w:styleId="CommentSubjectChar">
    <w:name w:val="Comment Subject Char"/>
    <w:basedOn w:val="CommentTextChar"/>
    <w:link w:val="CommentSubject"/>
    <w:uiPriority w:val="99"/>
    <w:semiHidden/>
    <w:rsid w:val="00920B77"/>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8064">
      <w:bodyDiv w:val="1"/>
      <w:marLeft w:val="0"/>
      <w:marRight w:val="0"/>
      <w:marTop w:val="0"/>
      <w:marBottom w:val="0"/>
      <w:divBdr>
        <w:top w:val="none" w:sz="0" w:space="0" w:color="auto"/>
        <w:left w:val="none" w:sz="0" w:space="0" w:color="auto"/>
        <w:bottom w:val="none" w:sz="0" w:space="0" w:color="auto"/>
        <w:right w:val="none" w:sz="0" w:space="0" w:color="auto"/>
      </w:divBdr>
    </w:div>
    <w:div w:id="359280983">
      <w:bodyDiv w:val="1"/>
      <w:marLeft w:val="0"/>
      <w:marRight w:val="0"/>
      <w:marTop w:val="0"/>
      <w:marBottom w:val="0"/>
      <w:divBdr>
        <w:top w:val="none" w:sz="0" w:space="0" w:color="auto"/>
        <w:left w:val="none" w:sz="0" w:space="0" w:color="auto"/>
        <w:bottom w:val="none" w:sz="0" w:space="0" w:color="auto"/>
        <w:right w:val="none" w:sz="0" w:space="0" w:color="auto"/>
      </w:divBdr>
    </w:div>
    <w:div w:id="972372211">
      <w:bodyDiv w:val="1"/>
      <w:marLeft w:val="0"/>
      <w:marRight w:val="0"/>
      <w:marTop w:val="0"/>
      <w:marBottom w:val="0"/>
      <w:divBdr>
        <w:top w:val="none" w:sz="0" w:space="0" w:color="auto"/>
        <w:left w:val="none" w:sz="0" w:space="0" w:color="auto"/>
        <w:bottom w:val="none" w:sz="0" w:space="0" w:color="auto"/>
        <w:right w:val="none" w:sz="0" w:space="0" w:color="auto"/>
      </w:divBdr>
    </w:div>
    <w:div w:id="1100299342">
      <w:bodyDiv w:val="1"/>
      <w:marLeft w:val="0"/>
      <w:marRight w:val="0"/>
      <w:marTop w:val="0"/>
      <w:marBottom w:val="0"/>
      <w:divBdr>
        <w:top w:val="none" w:sz="0" w:space="0" w:color="auto"/>
        <w:left w:val="none" w:sz="0" w:space="0" w:color="auto"/>
        <w:bottom w:val="none" w:sz="0" w:space="0" w:color="auto"/>
        <w:right w:val="none" w:sz="0" w:space="0" w:color="auto"/>
      </w:divBdr>
    </w:div>
    <w:div w:id="1937135481">
      <w:bodyDiv w:val="1"/>
      <w:marLeft w:val="0"/>
      <w:marRight w:val="0"/>
      <w:marTop w:val="0"/>
      <w:marBottom w:val="0"/>
      <w:divBdr>
        <w:top w:val="none" w:sz="0" w:space="0" w:color="auto"/>
        <w:left w:val="none" w:sz="0" w:space="0" w:color="auto"/>
        <w:bottom w:val="none" w:sz="0" w:space="0" w:color="auto"/>
        <w:right w:val="none" w:sz="0" w:space="0" w:color="auto"/>
      </w:divBdr>
    </w:div>
    <w:div w:id="21300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trolimex.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9F6C-BA8C-4936-B97F-54062D25E3A6}">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435E03A3-8023-4193-8B62-82CB81F88BA6}">
  <ds:schemaRefs>
    <ds:schemaRef ds:uri="http://schemas.microsoft.com/sharepoint/v3/contenttype/forms"/>
  </ds:schemaRefs>
</ds:datastoreItem>
</file>

<file path=customXml/itemProps3.xml><?xml version="1.0" encoding="utf-8"?>
<ds:datastoreItem xmlns:ds="http://schemas.openxmlformats.org/officeDocument/2006/customXml" ds:itemID="{AE02C012-54B9-41BE-B0DD-044595F0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A033B-E7EE-4402-A618-B5F305A9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3829</Words>
  <Characters>21826</Characters>
  <Application>Microsoft Office Word</Application>
  <DocSecurity>0</DocSecurity>
  <Lines>181</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BC HĐ HĐQT 2025 &amp; KH 2026</vt:lpstr>
      <vt:lpstr>NQ v.v TL KXD ĐHương</vt:lpstr>
    </vt:vector>
  </TitlesOfParts>
  <Company/>
  <LinksUpToDate>false</LinksUpToDate>
  <CharactersWithSpaces>25604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HĐ HĐQT 2025 &amp; KH 2026</dc:title>
  <dc:creator>Hieu, Nguyen Minh (PETROLIMEX)</dc:creator>
  <cp:lastModifiedBy>Thuy Hang</cp:lastModifiedBy>
  <cp:revision>4</cp:revision>
  <cp:lastPrinted>2026-03-03T07:01:00Z</cp:lastPrinted>
  <dcterms:created xsi:type="dcterms:W3CDTF">2026-04-06T04:44:00Z</dcterms:created>
  <dcterms:modified xsi:type="dcterms:W3CDTF">2026-04-06T04:50:00Z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MediaServiceImageTags">
    <vt:lpwstr/>
  </property>
  <property fmtid="{D5CDD505-2E9C-101B-9397-08002B2CF9AE}" pid="4" name="docLang">
    <vt:lpwstr>vi</vt:lpwstr>
  </property>
</Properties>
</file>