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0D65B" w14:textId="4A4278C6" w:rsidR="0016378E" w:rsidRPr="004E539E" w:rsidRDefault="00E323A8" w:rsidP="004A5F3B">
      <w:pPr>
        <w:pStyle w:val="Heading1"/>
        <w:widowControl w:val="0"/>
        <w:numPr>
          <w:ilvl w:val="0"/>
          <w:numId w:val="0"/>
        </w:numPr>
        <w:adjustRightInd w:val="0"/>
        <w:snapToGrid w:val="0"/>
        <w:spacing w:before="0" w:line="276" w:lineRule="auto"/>
        <w:contextualSpacing w:val="0"/>
        <w:jc w:val="center"/>
        <w:rPr>
          <w:rFonts w:ascii="Times New Roman" w:hAnsi="Times New Roman" w:cs="Times New Roman"/>
          <w:bCs/>
          <w:sz w:val="26"/>
          <w:szCs w:val="26"/>
        </w:rPr>
      </w:pPr>
      <w:r w:rsidRPr="004E539E">
        <w:rPr>
          <w:rFonts w:ascii="Times New Roman" w:hAnsi="Times New Roman" w:cs="Times New Roman"/>
          <w:sz w:val="26"/>
        </w:rPr>
        <w:t>APPENDIX - SUMMARY TABLE OF RECOMMENDED AMENDMENTS AND SUPPLEMENT</w:t>
      </w:r>
      <w:r w:rsidR="007B1119">
        <w:rPr>
          <w:rFonts w:ascii="Times New Roman" w:hAnsi="Times New Roman" w:cs="Times New Roman"/>
          <w:sz w:val="26"/>
        </w:rPr>
        <w:t>S</w:t>
      </w:r>
      <w:bookmarkStart w:id="0" w:name="_GoBack"/>
      <w:bookmarkEnd w:id="0"/>
      <w:r w:rsidRPr="004E539E">
        <w:rPr>
          <w:rFonts w:ascii="Times New Roman" w:hAnsi="Times New Roman" w:cs="Times New Roman"/>
          <w:sz w:val="26"/>
        </w:rPr>
        <w:t xml:space="preserve"> TO </w:t>
      </w:r>
    </w:p>
    <w:p w14:paraId="38AF94D2" w14:textId="24786610" w:rsidR="00D51DB4" w:rsidRPr="004E539E" w:rsidRDefault="00FE006E" w:rsidP="004A5F3B">
      <w:pPr>
        <w:pStyle w:val="Heading1"/>
        <w:widowControl w:val="0"/>
        <w:numPr>
          <w:ilvl w:val="0"/>
          <w:numId w:val="0"/>
        </w:numPr>
        <w:adjustRightInd w:val="0"/>
        <w:snapToGrid w:val="0"/>
        <w:spacing w:before="0" w:line="276" w:lineRule="auto"/>
        <w:contextualSpacing w:val="0"/>
        <w:jc w:val="center"/>
        <w:rPr>
          <w:rFonts w:ascii="Times New Roman" w:hAnsi="Times New Roman" w:cs="Times New Roman"/>
          <w:bCs/>
          <w:sz w:val="26"/>
          <w:szCs w:val="26"/>
        </w:rPr>
      </w:pPr>
      <w:r w:rsidRPr="004E539E">
        <w:rPr>
          <w:rFonts w:ascii="Times New Roman" w:hAnsi="Times New Roman" w:cs="Times New Roman"/>
          <w:sz w:val="26"/>
        </w:rPr>
        <w:t xml:space="preserve">THE </w:t>
      </w:r>
      <w:r w:rsidR="00805423" w:rsidRPr="004E539E">
        <w:rPr>
          <w:rFonts w:ascii="Times New Roman" w:hAnsi="Times New Roman" w:cs="Times New Roman"/>
          <w:sz w:val="26"/>
        </w:rPr>
        <w:t>ORGANIZATION AND OPERATION REGULATION OF PETROLIMEX BOM (REGULATION 219)</w:t>
      </w:r>
    </w:p>
    <w:p w14:paraId="5DBB1B7D" w14:textId="77777777" w:rsidR="00D6146B" w:rsidRPr="004E539E" w:rsidRDefault="00D6146B" w:rsidP="004A5F3B">
      <w:pPr>
        <w:widowControl w:val="0"/>
        <w:adjustRightInd w:val="0"/>
        <w:snapToGrid w:val="0"/>
        <w:spacing w:after="0"/>
        <w:rPr>
          <w:rFonts w:cs="Times New Roman"/>
          <w:sz w:val="22"/>
        </w:rPr>
      </w:pPr>
    </w:p>
    <w:p w14:paraId="06FF5245" w14:textId="07C43CA5" w:rsidR="008B61F7" w:rsidRPr="00E57E03" w:rsidRDefault="003D3ADB" w:rsidP="004A5F3B">
      <w:pPr>
        <w:pStyle w:val="ListParagraph"/>
        <w:widowControl w:val="0"/>
        <w:numPr>
          <w:ilvl w:val="0"/>
          <w:numId w:val="15"/>
        </w:numPr>
        <w:adjustRightInd w:val="0"/>
        <w:snapToGrid w:val="0"/>
        <w:spacing w:after="0"/>
        <w:ind w:left="567" w:hanging="567"/>
        <w:contextualSpacing w:val="0"/>
        <w:jc w:val="both"/>
        <w:rPr>
          <w:rFonts w:cs="Times New Roman"/>
          <w:color w:val="000000" w:themeColor="text1"/>
          <w:sz w:val="22"/>
        </w:rPr>
      </w:pPr>
      <w:r w:rsidRPr="004E539E">
        <w:rPr>
          <w:rFonts w:cs="Times New Roman"/>
          <w:b/>
          <w:color w:val="000000" w:themeColor="text1"/>
          <w:sz w:val="22"/>
        </w:rPr>
        <w:t xml:space="preserve">Purpose: </w:t>
      </w:r>
      <w:r w:rsidRPr="004E539E">
        <w:rPr>
          <w:rFonts w:cs="Times New Roman"/>
          <w:color w:val="000000" w:themeColor="text1"/>
          <w:sz w:val="22"/>
        </w:rPr>
        <w:t>To summarize the recommended amendments and supplement to the Organization and Operation Regulation of Petrolimex Board of Management (Regulation 219).</w:t>
      </w:r>
    </w:p>
    <w:p w14:paraId="36D407F0" w14:textId="77777777" w:rsidR="00FB3D7B" w:rsidRPr="00E57E03" w:rsidRDefault="00FB3D7B" w:rsidP="004A5F3B">
      <w:pPr>
        <w:pStyle w:val="ListParagraph"/>
        <w:widowControl w:val="0"/>
        <w:adjustRightInd w:val="0"/>
        <w:snapToGrid w:val="0"/>
        <w:spacing w:after="0"/>
        <w:ind w:left="567" w:hanging="567"/>
        <w:contextualSpacing w:val="0"/>
        <w:jc w:val="both"/>
        <w:rPr>
          <w:rFonts w:cs="Times New Roman"/>
          <w:color w:val="000000" w:themeColor="text1"/>
          <w:sz w:val="22"/>
        </w:rPr>
      </w:pPr>
    </w:p>
    <w:p w14:paraId="29371994" w14:textId="0E573513" w:rsidR="00FB3D7B" w:rsidRPr="004E539E" w:rsidRDefault="00C758F5" w:rsidP="004A5F3B">
      <w:pPr>
        <w:pStyle w:val="ListParagraph"/>
        <w:widowControl w:val="0"/>
        <w:numPr>
          <w:ilvl w:val="0"/>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b/>
          <w:color w:val="000000" w:themeColor="text1"/>
          <w:sz w:val="22"/>
        </w:rPr>
        <w:t xml:space="preserve">Legal basis for review, </w:t>
      </w:r>
      <w:r w:rsidR="006028E1" w:rsidRPr="00E57E03">
        <w:rPr>
          <w:rFonts w:cs="Times New Roman"/>
          <w:b/>
          <w:color w:val="000000" w:themeColor="text1"/>
          <w:sz w:val="22"/>
        </w:rPr>
        <w:t>update/</w:t>
      </w:r>
      <w:r w:rsidRPr="00E57E03">
        <w:rPr>
          <w:rFonts w:cs="Times New Roman"/>
          <w:b/>
          <w:color w:val="000000" w:themeColor="text1"/>
          <w:sz w:val="22"/>
        </w:rPr>
        <w:t>amendment</w:t>
      </w:r>
      <w:r w:rsidR="006028E1" w:rsidRPr="00E57E03">
        <w:rPr>
          <w:rFonts w:cs="Times New Roman"/>
          <w:b/>
          <w:color w:val="000000" w:themeColor="text1"/>
          <w:sz w:val="22"/>
        </w:rPr>
        <w:t xml:space="preserve"> and supplement</w:t>
      </w:r>
      <w:r w:rsidR="00E37BD2" w:rsidRPr="004E539E">
        <w:rPr>
          <w:rFonts w:cs="Times New Roman"/>
          <w:b/>
          <w:color w:val="000000" w:themeColor="text1"/>
          <w:sz w:val="22"/>
        </w:rPr>
        <w:t>:</w:t>
      </w:r>
    </w:p>
    <w:p w14:paraId="00A1771F" w14:textId="07DBD4D6"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Resol</w:t>
      </w:r>
      <w:r w:rsidR="006F6ADF" w:rsidRPr="00E57E03">
        <w:rPr>
          <w:rFonts w:cs="Times New Roman"/>
          <w:color w:val="000000" w:themeColor="text1"/>
          <w:sz w:val="22"/>
        </w:rPr>
        <w:t>ution No. 79-NQ/TW of the Politburo</w:t>
      </w:r>
      <w:r w:rsidRPr="00E57E03">
        <w:rPr>
          <w:rFonts w:cs="Times New Roman"/>
          <w:color w:val="000000" w:themeColor="text1"/>
          <w:sz w:val="22"/>
        </w:rPr>
        <w:t xml:space="preserve"> dated January 6, 2026 on State Economy Development (</w:t>
      </w:r>
      <w:r w:rsidRPr="00E57E03">
        <w:rPr>
          <w:rFonts w:cs="Times New Roman"/>
          <w:b/>
          <w:color w:val="000000" w:themeColor="text1"/>
          <w:sz w:val="22"/>
        </w:rPr>
        <w:t>Resolution 79</w:t>
      </w:r>
      <w:r w:rsidRPr="00E57E03">
        <w:rPr>
          <w:rFonts w:cs="Times New Roman"/>
          <w:color w:val="000000" w:themeColor="text1"/>
          <w:sz w:val="22"/>
        </w:rPr>
        <w:t>);</w:t>
      </w:r>
    </w:p>
    <w:p w14:paraId="4D638D5E" w14:textId="77777777"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 xml:space="preserve">The Law No. 76/2025/QH15 on amending and supplementing a number of Articles of the Law on Enterprises approved on June 17, 2025 by the National Assembly of the Socialist Republic of Vietnam (the </w:t>
      </w:r>
      <w:r w:rsidRPr="00E57E03">
        <w:rPr>
          <w:rFonts w:cs="Times New Roman"/>
          <w:b/>
          <w:bCs/>
          <w:color w:val="000000" w:themeColor="text1"/>
          <w:sz w:val="22"/>
        </w:rPr>
        <w:t>amended Law on Enterprises 2025</w:t>
      </w:r>
      <w:r w:rsidRPr="00E57E03">
        <w:rPr>
          <w:rFonts w:cs="Times New Roman"/>
          <w:color w:val="000000" w:themeColor="text1"/>
          <w:sz w:val="22"/>
        </w:rPr>
        <w:t>);</w:t>
      </w:r>
    </w:p>
    <w:p w14:paraId="7F333653" w14:textId="0CB63D1C"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Law on Management and Investment of State Capital in Enterprises No. 68/2025/QH15 approved on June 14, 2025 by the National Assembly of the Socialist Republic of Viet Nam (</w:t>
      </w:r>
      <w:r w:rsidRPr="00E57E03">
        <w:rPr>
          <w:rFonts w:cs="Times New Roman"/>
          <w:b/>
          <w:color w:val="000000" w:themeColor="text1"/>
          <w:sz w:val="22"/>
        </w:rPr>
        <w:t>Law 68</w:t>
      </w:r>
      <w:r w:rsidRPr="00E57E03">
        <w:rPr>
          <w:rFonts w:cs="Times New Roman"/>
          <w:color w:val="000000" w:themeColor="text1"/>
          <w:sz w:val="22"/>
        </w:rPr>
        <w:t>);</w:t>
      </w:r>
    </w:p>
    <w:p w14:paraId="2EB2F159" w14:textId="109215A8"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Decree No. 245/2025/N</w:t>
      </w:r>
      <w:r w:rsidR="006F6ADF" w:rsidRPr="00E57E03">
        <w:rPr>
          <w:rFonts w:cs="Times New Roman"/>
          <w:color w:val="000000" w:themeColor="text1"/>
          <w:sz w:val="22"/>
        </w:rPr>
        <w:t>D</w:t>
      </w:r>
      <w:r w:rsidRPr="00E57E03">
        <w:rPr>
          <w:rFonts w:cs="Times New Roman"/>
          <w:color w:val="000000" w:themeColor="text1"/>
          <w:sz w:val="22"/>
        </w:rPr>
        <w:t>-CP of the Government dated September 11, 2025 on amending and supplementing a number of Articles of the Decree No. 155/2020/N</w:t>
      </w:r>
      <w:r w:rsidR="006F6ADF" w:rsidRPr="00E57E03">
        <w:rPr>
          <w:rFonts w:cs="Times New Roman"/>
          <w:color w:val="000000" w:themeColor="text1"/>
          <w:sz w:val="22"/>
        </w:rPr>
        <w:t>D</w:t>
      </w:r>
      <w:r w:rsidRPr="00E57E03">
        <w:rPr>
          <w:rFonts w:cs="Times New Roman"/>
          <w:color w:val="000000" w:themeColor="text1"/>
          <w:sz w:val="22"/>
        </w:rPr>
        <w:t>-CP (</w:t>
      </w:r>
      <w:r w:rsidRPr="00E57E03">
        <w:rPr>
          <w:rFonts w:cs="Times New Roman"/>
          <w:b/>
          <w:bCs/>
          <w:color w:val="000000" w:themeColor="text1"/>
          <w:sz w:val="22"/>
        </w:rPr>
        <w:t>Decree 245/2025/</w:t>
      </w:r>
      <w:r w:rsidRPr="00E57E03">
        <w:rPr>
          <w:rFonts w:cs="Times New Roman"/>
          <w:b/>
          <w:color w:val="000000" w:themeColor="text1"/>
          <w:sz w:val="22"/>
        </w:rPr>
        <w:t>N</w:t>
      </w:r>
      <w:r w:rsidR="006F6ADF" w:rsidRPr="00E57E03">
        <w:rPr>
          <w:rFonts w:cs="Times New Roman"/>
          <w:b/>
          <w:color w:val="000000" w:themeColor="text1"/>
          <w:sz w:val="22"/>
        </w:rPr>
        <w:t>D</w:t>
      </w:r>
      <w:r w:rsidRPr="00E57E03">
        <w:rPr>
          <w:rFonts w:cs="Times New Roman"/>
          <w:b/>
          <w:color w:val="000000" w:themeColor="text1"/>
          <w:sz w:val="22"/>
        </w:rPr>
        <w:t>-CP</w:t>
      </w:r>
      <w:r w:rsidRPr="00E57E03">
        <w:rPr>
          <w:rFonts w:cs="Times New Roman"/>
          <w:color w:val="000000" w:themeColor="text1"/>
          <w:sz w:val="22"/>
        </w:rPr>
        <w:t>);</w:t>
      </w:r>
    </w:p>
    <w:p w14:paraId="21E19DC7" w14:textId="65A6305B"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Decree No. 248/2025/N</w:t>
      </w:r>
      <w:r w:rsidR="006F6ADF" w:rsidRPr="00E57E03">
        <w:rPr>
          <w:rFonts w:cs="Times New Roman"/>
          <w:color w:val="000000" w:themeColor="text1"/>
          <w:sz w:val="22"/>
        </w:rPr>
        <w:t>D</w:t>
      </w:r>
      <w:r w:rsidRPr="00E57E03">
        <w:rPr>
          <w:rFonts w:cs="Times New Roman"/>
          <w:color w:val="000000" w:themeColor="text1"/>
          <w:sz w:val="22"/>
        </w:rPr>
        <w:t>-CP of the Government dated September 15, 2025 on the salary, remuneration, and bonus scheme of the direct state ownership representative, the representative of state capital and the controller in State-owned enterprises (</w:t>
      </w:r>
      <w:r w:rsidRPr="00E57E03">
        <w:rPr>
          <w:rFonts w:cs="Times New Roman"/>
          <w:b/>
          <w:bCs/>
          <w:color w:val="000000" w:themeColor="text1"/>
          <w:sz w:val="22"/>
        </w:rPr>
        <w:t>Decree 248/2025/N</w:t>
      </w:r>
      <w:r w:rsidR="006F6ADF" w:rsidRPr="00E57E03">
        <w:rPr>
          <w:rFonts w:cs="Times New Roman"/>
          <w:b/>
          <w:bCs/>
          <w:color w:val="000000" w:themeColor="text1"/>
          <w:sz w:val="22"/>
        </w:rPr>
        <w:t>D</w:t>
      </w:r>
      <w:r w:rsidRPr="00E57E03">
        <w:rPr>
          <w:rFonts w:cs="Times New Roman"/>
          <w:b/>
          <w:bCs/>
          <w:color w:val="000000" w:themeColor="text1"/>
          <w:sz w:val="22"/>
        </w:rPr>
        <w:t>-CP</w:t>
      </w:r>
      <w:r w:rsidRPr="00E57E03">
        <w:rPr>
          <w:rFonts w:cs="Times New Roman"/>
          <w:color w:val="000000" w:themeColor="text1"/>
          <w:sz w:val="22"/>
        </w:rPr>
        <w:t>);</w:t>
      </w:r>
    </w:p>
    <w:p w14:paraId="676EA8D7" w14:textId="37DEDD20"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Decree No. 365/2025/N</w:t>
      </w:r>
      <w:r w:rsidR="006F6ADF" w:rsidRPr="00E57E03">
        <w:rPr>
          <w:rFonts w:cs="Times New Roman"/>
          <w:color w:val="000000" w:themeColor="text1"/>
          <w:sz w:val="22"/>
        </w:rPr>
        <w:t>D</w:t>
      </w:r>
      <w:r w:rsidRPr="00E57E03">
        <w:rPr>
          <w:rFonts w:cs="Times New Roman"/>
          <w:color w:val="000000" w:themeColor="text1"/>
          <w:sz w:val="22"/>
        </w:rPr>
        <w:t>-CP of the Government dated December 31, 2025 on supervision, inspection, evaluation, classification, reporting and information disclosure in the management and investment of state capital in enterprises (</w:t>
      </w:r>
      <w:r w:rsidRPr="00E57E03">
        <w:rPr>
          <w:rFonts w:cs="Times New Roman"/>
          <w:b/>
          <w:bCs/>
          <w:color w:val="000000" w:themeColor="text1"/>
          <w:sz w:val="22"/>
        </w:rPr>
        <w:t>Decree 365/2025/N</w:t>
      </w:r>
      <w:r w:rsidR="006F6ADF" w:rsidRPr="00E57E03">
        <w:rPr>
          <w:rFonts w:cs="Times New Roman"/>
          <w:b/>
          <w:bCs/>
          <w:color w:val="000000" w:themeColor="text1"/>
          <w:sz w:val="22"/>
        </w:rPr>
        <w:t>D</w:t>
      </w:r>
      <w:r w:rsidRPr="00E57E03">
        <w:rPr>
          <w:rFonts w:cs="Times New Roman"/>
          <w:b/>
          <w:bCs/>
          <w:color w:val="000000" w:themeColor="text1"/>
          <w:sz w:val="22"/>
        </w:rPr>
        <w:t>-CP</w:t>
      </w:r>
      <w:r w:rsidRPr="00E57E03">
        <w:rPr>
          <w:rFonts w:cs="Times New Roman"/>
          <w:color w:val="000000" w:themeColor="text1"/>
          <w:sz w:val="22"/>
        </w:rPr>
        <w:t>);</w:t>
      </w:r>
    </w:p>
    <w:p w14:paraId="1B50403C" w14:textId="7FD053CF"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Decree No. 366/2025/N</w:t>
      </w:r>
      <w:r w:rsidR="006F6ADF" w:rsidRPr="00E57E03">
        <w:rPr>
          <w:rFonts w:cs="Times New Roman"/>
          <w:color w:val="000000" w:themeColor="text1"/>
          <w:sz w:val="22"/>
        </w:rPr>
        <w:t>D</w:t>
      </w:r>
      <w:r w:rsidRPr="00E57E03">
        <w:rPr>
          <w:rFonts w:cs="Times New Roman"/>
          <w:color w:val="000000" w:themeColor="text1"/>
          <w:sz w:val="22"/>
        </w:rPr>
        <w:t>-CP of the Government dated December 31, 2025 on Management and Investment of State Capital in enterprises (</w:t>
      </w:r>
      <w:r w:rsidRPr="00E57E03">
        <w:rPr>
          <w:rFonts w:cs="Times New Roman"/>
          <w:b/>
          <w:bCs/>
          <w:color w:val="000000" w:themeColor="text1"/>
          <w:sz w:val="22"/>
        </w:rPr>
        <w:t>Decree 366/2025/N</w:t>
      </w:r>
      <w:r w:rsidR="006F6ADF" w:rsidRPr="00E57E03">
        <w:rPr>
          <w:rFonts w:cs="Times New Roman"/>
          <w:b/>
          <w:bCs/>
          <w:color w:val="000000" w:themeColor="text1"/>
          <w:sz w:val="22"/>
        </w:rPr>
        <w:t>D</w:t>
      </w:r>
      <w:r w:rsidRPr="00E57E03">
        <w:rPr>
          <w:rFonts w:cs="Times New Roman"/>
          <w:b/>
          <w:bCs/>
          <w:color w:val="000000" w:themeColor="text1"/>
          <w:sz w:val="22"/>
        </w:rPr>
        <w:t>-CP</w:t>
      </w:r>
      <w:r w:rsidRPr="00E57E03">
        <w:rPr>
          <w:rFonts w:cs="Times New Roman"/>
          <w:color w:val="000000" w:themeColor="text1"/>
          <w:sz w:val="22"/>
        </w:rPr>
        <w:t>);</w:t>
      </w:r>
    </w:p>
    <w:p w14:paraId="70BD087F" w14:textId="0569BB02" w:rsidR="00B74480" w:rsidRPr="00E57E03"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57E03">
        <w:rPr>
          <w:rFonts w:cs="Times New Roman"/>
          <w:color w:val="000000" w:themeColor="text1"/>
          <w:sz w:val="22"/>
        </w:rPr>
        <w:t>The Decree No. 57/2026/N</w:t>
      </w:r>
      <w:r w:rsidR="006F6ADF" w:rsidRPr="00E57E03">
        <w:rPr>
          <w:rFonts w:cs="Times New Roman"/>
          <w:color w:val="000000" w:themeColor="text1"/>
          <w:sz w:val="22"/>
        </w:rPr>
        <w:t>D</w:t>
      </w:r>
      <w:r w:rsidRPr="00E57E03">
        <w:rPr>
          <w:rFonts w:cs="Times New Roman"/>
          <w:color w:val="000000" w:themeColor="text1"/>
          <w:sz w:val="22"/>
        </w:rPr>
        <w:t>-CP of the Government dated February 12, 2026 on restructuring of state capital in Enterprises (</w:t>
      </w:r>
      <w:r w:rsidRPr="00E57E03">
        <w:rPr>
          <w:rFonts w:cs="Times New Roman"/>
          <w:b/>
          <w:bCs/>
          <w:color w:val="000000" w:themeColor="text1"/>
          <w:sz w:val="22"/>
        </w:rPr>
        <w:t>Decree 57/2026/N</w:t>
      </w:r>
      <w:r w:rsidR="006F6ADF" w:rsidRPr="00E57E03">
        <w:rPr>
          <w:rFonts w:cs="Times New Roman"/>
          <w:b/>
          <w:bCs/>
          <w:color w:val="000000" w:themeColor="text1"/>
          <w:sz w:val="22"/>
        </w:rPr>
        <w:t>D</w:t>
      </w:r>
      <w:r w:rsidRPr="00E57E03">
        <w:rPr>
          <w:rFonts w:cs="Times New Roman"/>
          <w:b/>
          <w:bCs/>
          <w:color w:val="000000" w:themeColor="text1"/>
          <w:sz w:val="22"/>
        </w:rPr>
        <w:t>-CP</w:t>
      </w:r>
      <w:r w:rsidRPr="00E57E03">
        <w:rPr>
          <w:rFonts w:cs="Times New Roman"/>
          <w:color w:val="000000" w:themeColor="text1"/>
          <w:sz w:val="22"/>
        </w:rPr>
        <w:t>);</w:t>
      </w:r>
    </w:p>
    <w:p w14:paraId="66D481C5" w14:textId="77777777" w:rsidR="00302B7F" w:rsidRPr="00E57E03" w:rsidRDefault="00EF5C17" w:rsidP="004A5F3B">
      <w:pPr>
        <w:widowControl w:val="0"/>
        <w:numPr>
          <w:ilvl w:val="1"/>
          <w:numId w:val="15"/>
        </w:numPr>
        <w:adjustRightInd w:val="0"/>
        <w:snapToGrid w:val="0"/>
        <w:spacing w:after="0"/>
        <w:ind w:left="567" w:hanging="567"/>
        <w:jc w:val="both"/>
        <w:rPr>
          <w:rFonts w:cs="Times New Roman"/>
          <w:color w:val="000000"/>
          <w:sz w:val="22"/>
        </w:rPr>
      </w:pPr>
      <w:r w:rsidRPr="00E57E03">
        <w:rPr>
          <w:rFonts w:cs="Times New Roman"/>
          <w:color w:val="000000"/>
          <w:sz w:val="22"/>
        </w:rPr>
        <w:t>The Corporate Governance Code for Public Companies (2026 Edition), jointly developed by the State Securities Commission and the International Finance Corporation (IFC) (</w:t>
      </w:r>
      <w:r w:rsidRPr="00E57E03">
        <w:rPr>
          <w:rFonts w:cs="Times New Roman"/>
          <w:b/>
          <w:bCs/>
          <w:color w:val="000000"/>
          <w:sz w:val="22"/>
        </w:rPr>
        <w:t>the Code/OECD Principles</w:t>
      </w:r>
      <w:r w:rsidRPr="00E57E03">
        <w:rPr>
          <w:rFonts w:cs="Times New Roman"/>
          <w:color w:val="000000"/>
          <w:sz w:val="22"/>
        </w:rPr>
        <w:t>);</w:t>
      </w:r>
    </w:p>
    <w:p w14:paraId="505AF409" w14:textId="4D466BB9" w:rsidR="004A5CF8" w:rsidRPr="00E57E03" w:rsidRDefault="00302B7F" w:rsidP="004A5CF8">
      <w:pPr>
        <w:widowControl w:val="0"/>
        <w:numPr>
          <w:ilvl w:val="1"/>
          <w:numId w:val="15"/>
        </w:numPr>
        <w:adjustRightInd w:val="0"/>
        <w:snapToGrid w:val="0"/>
        <w:spacing w:after="0"/>
        <w:ind w:left="567" w:hanging="567"/>
        <w:jc w:val="both"/>
        <w:rPr>
          <w:rFonts w:cs="Times New Roman"/>
          <w:color w:val="000000"/>
          <w:sz w:val="22"/>
        </w:rPr>
      </w:pPr>
      <w:r w:rsidRPr="00E57E03">
        <w:rPr>
          <w:rFonts w:cs="Times New Roman"/>
          <w:color w:val="000000"/>
          <w:sz w:val="22"/>
        </w:rPr>
        <w:t>The 2026 Draft Charter of Petrolimex (</w:t>
      </w:r>
      <w:r w:rsidRPr="00E57E03">
        <w:rPr>
          <w:rFonts w:cs="Times New Roman"/>
          <w:b/>
          <w:bCs/>
          <w:color w:val="000000"/>
          <w:sz w:val="22"/>
        </w:rPr>
        <w:t>The 2026 Draft Charter</w:t>
      </w:r>
      <w:r w:rsidRPr="00E57E03">
        <w:rPr>
          <w:rFonts w:cs="Times New Roman"/>
          <w:color w:val="000000"/>
          <w:sz w:val="22"/>
        </w:rPr>
        <w:t>).</w:t>
      </w:r>
    </w:p>
    <w:p w14:paraId="3E4FDE17" w14:textId="77777777" w:rsidR="00B74480" w:rsidRPr="00E57E03" w:rsidRDefault="00B74480" w:rsidP="004A5F3B">
      <w:pPr>
        <w:pStyle w:val="ListParagraph"/>
        <w:widowControl w:val="0"/>
        <w:adjustRightInd w:val="0"/>
        <w:snapToGrid w:val="0"/>
        <w:spacing w:after="0"/>
        <w:ind w:left="567"/>
        <w:contextualSpacing w:val="0"/>
        <w:jc w:val="both"/>
        <w:rPr>
          <w:rFonts w:cs="Times New Roman"/>
          <w:i/>
          <w:iCs/>
          <w:color w:val="000000" w:themeColor="text1"/>
          <w:sz w:val="22"/>
        </w:rPr>
      </w:pPr>
    </w:p>
    <w:p w14:paraId="704A9A9A" w14:textId="72195E4F" w:rsidR="00FC33CA" w:rsidRPr="00E57E03" w:rsidRDefault="00405C0E" w:rsidP="004A5F3B">
      <w:pPr>
        <w:pStyle w:val="ListParagraph"/>
        <w:widowControl w:val="0"/>
        <w:adjustRightInd w:val="0"/>
        <w:snapToGrid w:val="0"/>
        <w:spacing w:after="0"/>
        <w:ind w:left="567"/>
        <w:contextualSpacing w:val="0"/>
        <w:jc w:val="both"/>
        <w:rPr>
          <w:rFonts w:cs="Times New Roman"/>
          <w:b/>
          <w:bCs/>
          <w:color w:val="000000" w:themeColor="text1"/>
          <w:sz w:val="22"/>
        </w:rPr>
      </w:pPr>
      <w:r w:rsidRPr="00E57E03">
        <w:rPr>
          <w:rFonts w:cs="Times New Roman"/>
          <w:b/>
          <w:color w:val="000000" w:themeColor="text1"/>
          <w:sz w:val="22"/>
        </w:rPr>
        <w:t>Recommended amendment and supplement contents are detailed below:</w:t>
      </w:r>
    </w:p>
    <w:tbl>
      <w:tblPr>
        <w:tblStyle w:val="TableGrid"/>
        <w:tblW w:w="5000" w:type="pct"/>
        <w:tblLook w:val="04A0" w:firstRow="1" w:lastRow="0" w:firstColumn="1" w:lastColumn="0" w:noHBand="0" w:noVBand="1"/>
      </w:tblPr>
      <w:tblGrid>
        <w:gridCol w:w="706"/>
        <w:gridCol w:w="1666"/>
        <w:gridCol w:w="3824"/>
        <w:gridCol w:w="3873"/>
        <w:gridCol w:w="3435"/>
      </w:tblGrid>
      <w:tr w:rsidR="006608EA" w:rsidRPr="00E57E03" w14:paraId="4965EDB3" w14:textId="70283E3B" w:rsidTr="0024588C">
        <w:trPr>
          <w:trHeight w:val="20"/>
          <w:tblHeader/>
        </w:trPr>
        <w:tc>
          <w:tcPr>
            <w:tcW w:w="261" w:type="pct"/>
            <w:shd w:val="clear" w:color="auto" w:fill="8D0F3B"/>
          </w:tcPr>
          <w:p w14:paraId="07EB2343" w14:textId="47AAF554" w:rsidR="006608EA" w:rsidRPr="00E57E03" w:rsidRDefault="00FC33CA" w:rsidP="00B7620F">
            <w:pPr>
              <w:widowControl w:val="0"/>
              <w:adjustRightInd w:val="0"/>
              <w:snapToGrid w:val="0"/>
              <w:spacing w:before="60" w:after="60" w:line="276" w:lineRule="auto"/>
              <w:jc w:val="center"/>
              <w:rPr>
                <w:rFonts w:cs="Times New Roman"/>
                <w:sz w:val="22"/>
              </w:rPr>
            </w:pPr>
            <w:r w:rsidRPr="00E57E03">
              <w:rPr>
                <w:rFonts w:cs="Times New Roman"/>
              </w:rPr>
              <w:br w:type="column"/>
            </w:r>
            <w:r w:rsidRPr="00E57E03">
              <w:rPr>
                <w:rFonts w:cs="Times New Roman"/>
                <w:b/>
                <w:bCs/>
              </w:rPr>
              <w:t>No.</w:t>
            </w:r>
          </w:p>
        </w:tc>
        <w:tc>
          <w:tcPr>
            <w:tcW w:w="617" w:type="pct"/>
            <w:shd w:val="clear" w:color="auto" w:fill="8D0F3B"/>
          </w:tcPr>
          <w:p w14:paraId="76EA20D7" w14:textId="77777777" w:rsidR="006608EA" w:rsidRPr="00E57E03" w:rsidRDefault="006608EA" w:rsidP="00B7620F">
            <w:pPr>
              <w:widowControl w:val="0"/>
              <w:adjustRightInd w:val="0"/>
              <w:snapToGrid w:val="0"/>
              <w:spacing w:before="60" w:after="60" w:line="276" w:lineRule="auto"/>
              <w:jc w:val="center"/>
              <w:rPr>
                <w:rFonts w:cs="Times New Roman"/>
                <w:b/>
                <w:sz w:val="22"/>
              </w:rPr>
            </w:pPr>
            <w:r w:rsidRPr="00E57E03">
              <w:rPr>
                <w:rFonts w:cs="Times New Roman"/>
                <w:b/>
                <w:sz w:val="22"/>
              </w:rPr>
              <w:t>Article/Clause</w:t>
            </w:r>
          </w:p>
          <w:p w14:paraId="62B482E6" w14:textId="7F3BB3CF" w:rsidR="00EC04F3" w:rsidRPr="00E57E03" w:rsidRDefault="004913FD" w:rsidP="00B7620F">
            <w:pPr>
              <w:widowControl w:val="0"/>
              <w:adjustRightInd w:val="0"/>
              <w:snapToGrid w:val="0"/>
              <w:spacing w:before="60" w:after="60" w:line="276" w:lineRule="auto"/>
              <w:jc w:val="center"/>
              <w:rPr>
                <w:rFonts w:cs="Times New Roman"/>
                <w:b/>
                <w:bCs/>
                <w:sz w:val="22"/>
              </w:rPr>
            </w:pPr>
            <w:r w:rsidRPr="00E57E03">
              <w:rPr>
                <w:rFonts w:cs="Times New Roman"/>
                <w:b/>
                <w:sz w:val="22"/>
              </w:rPr>
              <w:t>Regulation 219</w:t>
            </w:r>
          </w:p>
        </w:tc>
        <w:tc>
          <w:tcPr>
            <w:tcW w:w="1416" w:type="pct"/>
            <w:shd w:val="clear" w:color="auto" w:fill="8D0F3B"/>
          </w:tcPr>
          <w:p w14:paraId="420EAF49" w14:textId="3F357F7F" w:rsidR="006608EA" w:rsidRPr="00E57E03" w:rsidRDefault="00267F15" w:rsidP="00B7620F">
            <w:pPr>
              <w:widowControl w:val="0"/>
              <w:adjustRightInd w:val="0"/>
              <w:snapToGrid w:val="0"/>
              <w:spacing w:before="60" w:after="60" w:line="276" w:lineRule="auto"/>
              <w:jc w:val="center"/>
              <w:rPr>
                <w:rFonts w:cs="Times New Roman"/>
                <w:sz w:val="22"/>
              </w:rPr>
            </w:pPr>
            <w:r w:rsidRPr="00E57E03">
              <w:rPr>
                <w:rFonts w:cs="Times New Roman"/>
                <w:b/>
                <w:sz w:val="22"/>
              </w:rPr>
              <w:t xml:space="preserve">Regulation 219 </w:t>
            </w:r>
          </w:p>
        </w:tc>
        <w:tc>
          <w:tcPr>
            <w:tcW w:w="1434" w:type="pct"/>
            <w:shd w:val="clear" w:color="auto" w:fill="8D0F3B"/>
          </w:tcPr>
          <w:p w14:paraId="4867556A" w14:textId="01BBF9A5" w:rsidR="006608EA" w:rsidRPr="00E57E03" w:rsidRDefault="006608EA" w:rsidP="00B7620F">
            <w:pPr>
              <w:widowControl w:val="0"/>
              <w:adjustRightInd w:val="0"/>
              <w:snapToGrid w:val="0"/>
              <w:spacing w:before="60" w:after="60" w:line="276" w:lineRule="auto"/>
              <w:jc w:val="center"/>
              <w:rPr>
                <w:rFonts w:cs="Times New Roman"/>
                <w:sz w:val="22"/>
              </w:rPr>
            </w:pPr>
            <w:r w:rsidRPr="00E57E03">
              <w:rPr>
                <w:rFonts w:cs="Times New Roman"/>
                <w:b/>
                <w:sz w:val="22"/>
              </w:rPr>
              <w:t>Draft of Revised Regulation to the Regulation 219</w:t>
            </w:r>
          </w:p>
        </w:tc>
        <w:tc>
          <w:tcPr>
            <w:tcW w:w="1272" w:type="pct"/>
            <w:shd w:val="clear" w:color="auto" w:fill="8D0E3B"/>
          </w:tcPr>
          <w:p w14:paraId="3F44B1CD" w14:textId="77777777" w:rsidR="006608EA" w:rsidRPr="00E57E03" w:rsidRDefault="006608EA" w:rsidP="00B7620F">
            <w:pPr>
              <w:widowControl w:val="0"/>
              <w:adjustRightInd w:val="0"/>
              <w:snapToGrid w:val="0"/>
              <w:spacing w:before="60" w:after="60" w:line="276" w:lineRule="auto"/>
              <w:jc w:val="center"/>
              <w:rPr>
                <w:rFonts w:cs="Times New Roman"/>
                <w:b/>
                <w:bCs/>
                <w:sz w:val="22"/>
              </w:rPr>
            </w:pPr>
            <w:r w:rsidRPr="00E57E03">
              <w:rPr>
                <w:rFonts w:cs="Times New Roman"/>
                <w:b/>
                <w:sz w:val="22"/>
              </w:rPr>
              <w:t>Reason/Recitals for amendment</w:t>
            </w:r>
          </w:p>
        </w:tc>
      </w:tr>
      <w:tr w:rsidR="00AA0719" w:rsidRPr="00E57E03" w14:paraId="00BCFD7A" w14:textId="77777777" w:rsidTr="0024588C">
        <w:trPr>
          <w:trHeight w:val="20"/>
        </w:trPr>
        <w:tc>
          <w:tcPr>
            <w:tcW w:w="261" w:type="pct"/>
          </w:tcPr>
          <w:p w14:paraId="01682FBF" w14:textId="77777777" w:rsidR="00AA0719" w:rsidRPr="00E57E03" w:rsidRDefault="00AA0719"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4FC609F" w14:textId="3BB0D2CF" w:rsidR="00AA0719" w:rsidRPr="00E57E03" w:rsidRDefault="00AA0719" w:rsidP="00B7620F">
            <w:pPr>
              <w:widowControl w:val="0"/>
              <w:adjustRightInd w:val="0"/>
              <w:snapToGrid w:val="0"/>
              <w:spacing w:before="60" w:after="60"/>
              <w:jc w:val="both"/>
              <w:rPr>
                <w:rFonts w:cs="Times New Roman"/>
                <w:sz w:val="22"/>
              </w:rPr>
            </w:pPr>
            <w:r w:rsidRPr="004E539E">
              <w:rPr>
                <w:rFonts w:cs="Times New Roman"/>
                <w:sz w:val="22"/>
              </w:rPr>
              <w:t>Regulation’s name</w:t>
            </w:r>
          </w:p>
        </w:tc>
        <w:tc>
          <w:tcPr>
            <w:tcW w:w="1416" w:type="pct"/>
          </w:tcPr>
          <w:p w14:paraId="23599F0D" w14:textId="77777777" w:rsidR="00AA0719" w:rsidRPr="00E57E03" w:rsidRDefault="002F0FE9"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Organization and Operation Regulation of Board of Management of Vietnam National Petroleum Group</w:t>
            </w:r>
          </w:p>
          <w:p w14:paraId="72318690" w14:textId="77777777" w:rsidR="002F0FE9" w:rsidRPr="00E57E03" w:rsidRDefault="002F0FE9" w:rsidP="00C65FC4">
            <w:pPr>
              <w:widowControl w:val="0"/>
              <w:adjustRightInd w:val="0"/>
              <w:snapToGrid w:val="0"/>
              <w:spacing w:before="60" w:after="60"/>
              <w:jc w:val="both"/>
              <w:rPr>
                <w:rFonts w:cs="Times New Roman"/>
                <w:bCs/>
                <w:color w:val="000000" w:themeColor="text1"/>
                <w:sz w:val="22"/>
              </w:rPr>
            </w:pPr>
          </w:p>
          <w:p w14:paraId="31136A03" w14:textId="6AAF9D5A" w:rsidR="002F0FE9" w:rsidRPr="00E57E03" w:rsidRDefault="002F0FE9"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Operation Regulations of Petrolimex BOM</w:t>
            </w:r>
          </w:p>
        </w:tc>
        <w:tc>
          <w:tcPr>
            <w:tcW w:w="1434" w:type="pct"/>
          </w:tcPr>
          <w:p w14:paraId="50D6C78C" w14:textId="19103A81" w:rsidR="00AA0719" w:rsidRPr="00E57E03" w:rsidRDefault="002F0FE9"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u w:val="single"/>
              </w:rPr>
              <w:lastRenderedPageBreak/>
              <w:t>Operation Regulations</w:t>
            </w:r>
            <w:r w:rsidRPr="00E57E03">
              <w:rPr>
                <w:rFonts w:cs="Times New Roman"/>
                <w:color w:val="000000" w:themeColor="text1"/>
                <w:sz w:val="22"/>
              </w:rPr>
              <w:t xml:space="preserve"> of Petrolimex BOM</w:t>
            </w:r>
          </w:p>
        </w:tc>
        <w:tc>
          <w:tcPr>
            <w:tcW w:w="1272" w:type="pct"/>
          </w:tcPr>
          <w:p w14:paraId="5AB22EDF" w14:textId="5274DAE8" w:rsidR="00AA0719" w:rsidRPr="00E57E03" w:rsidRDefault="002F0FE9"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Standardize the name in accordance with the title of the Operation Regulation Form of the Board of Management as set out in Appendix </w:t>
            </w:r>
            <w:r w:rsidRPr="00E57E03">
              <w:rPr>
                <w:rFonts w:cs="Times New Roman"/>
                <w:color w:val="000000" w:themeColor="text1"/>
                <w:sz w:val="22"/>
              </w:rPr>
              <w:lastRenderedPageBreak/>
              <w:t>III to the Circular No. 116/2020/TT-BTC (hereinafter referred to as “Regulation Form”).</w:t>
            </w:r>
          </w:p>
        </w:tc>
      </w:tr>
      <w:tr w:rsidR="00F33741" w:rsidRPr="00E57E03" w14:paraId="2F93C37C" w14:textId="77777777" w:rsidTr="0024588C">
        <w:trPr>
          <w:trHeight w:val="20"/>
        </w:trPr>
        <w:tc>
          <w:tcPr>
            <w:tcW w:w="261" w:type="pct"/>
          </w:tcPr>
          <w:p w14:paraId="3EA16FD8" w14:textId="77777777" w:rsidR="00F33741" w:rsidRPr="00E57E03" w:rsidRDefault="00F33741"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524C95B9" w14:textId="6D6A8AC5" w:rsidR="00F33741" w:rsidRPr="00E57E03" w:rsidRDefault="00E31D2B" w:rsidP="00B7620F">
            <w:pPr>
              <w:widowControl w:val="0"/>
              <w:adjustRightInd w:val="0"/>
              <w:snapToGrid w:val="0"/>
              <w:spacing w:before="60" w:after="60"/>
              <w:jc w:val="both"/>
              <w:rPr>
                <w:rFonts w:cs="Times New Roman"/>
                <w:sz w:val="22"/>
              </w:rPr>
            </w:pPr>
            <w:r w:rsidRPr="00E57E03">
              <w:rPr>
                <w:rFonts w:cs="Times New Roman"/>
                <w:sz w:val="22"/>
              </w:rPr>
              <w:t>Recitals</w:t>
            </w:r>
          </w:p>
        </w:tc>
        <w:tc>
          <w:tcPr>
            <w:tcW w:w="1416" w:type="pct"/>
          </w:tcPr>
          <w:p w14:paraId="29E7DB5F" w14:textId="12E38FA5" w:rsidR="00C65FC4" w:rsidRPr="00E57E03" w:rsidRDefault="00C65FC4"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Pursuant to the Law on Enterprises No. 59/2020/QH14 dated June 17, 2020;</w:t>
            </w:r>
          </w:p>
          <w:p w14:paraId="3ED7A1E8" w14:textId="77777777" w:rsidR="00C65FC4" w:rsidRPr="00E57E03" w:rsidRDefault="00C65FC4"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Pursuant to the Law on Securities No. 54/2019/QH14 dated November 26, 2019;</w:t>
            </w:r>
          </w:p>
          <w:p w14:paraId="716B0550" w14:textId="77777777" w:rsidR="00C65FC4" w:rsidRPr="00E57E03" w:rsidRDefault="00C65FC4"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Pursuant to the Decree No. 155/2020/ND-CP of the Government dated December 31, 2020 on detailing a number of Articles of the Law on Securities and the Circular No. 116/2020/TT-BTC of the Ministry of Finance dated December 31, 2020 on detailing a number of Articles on corporate governance for the public companies in the Decree No. 155/2020/ND-CP of the Government; </w:t>
            </w:r>
          </w:p>
          <w:p w14:paraId="31B7CB92" w14:textId="77777777" w:rsidR="00C65FC4" w:rsidRPr="00E57E03" w:rsidRDefault="00C65FC4"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Pursuant to Petrolimex's Charter approved on April 26, 2021 by the General Meeting of Shareholders;</w:t>
            </w:r>
          </w:p>
          <w:p w14:paraId="5F18B565" w14:textId="7E1757DA" w:rsidR="00F33741" w:rsidRPr="00E57E03" w:rsidRDefault="00C65FC4" w:rsidP="00C65FC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 Pursuant to the Resolution No. 01/2021/PLX-NQ-</w:t>
            </w:r>
            <w:r w:rsidR="006F6ADF" w:rsidRPr="00E57E03">
              <w:rPr>
                <w:rFonts w:cs="Times New Roman"/>
                <w:color w:val="000000" w:themeColor="text1"/>
                <w:sz w:val="22"/>
              </w:rPr>
              <w:t>D</w:t>
            </w:r>
            <w:r w:rsidRPr="00E57E03">
              <w:rPr>
                <w:rFonts w:cs="Times New Roman"/>
                <w:color w:val="000000" w:themeColor="text1"/>
                <w:sz w:val="22"/>
              </w:rPr>
              <w:t>H</w:t>
            </w:r>
            <w:r w:rsidR="006F6ADF" w:rsidRPr="00E57E03">
              <w:rPr>
                <w:rFonts w:cs="Times New Roman"/>
                <w:color w:val="000000" w:themeColor="text1"/>
                <w:sz w:val="22"/>
              </w:rPr>
              <w:t>D</w:t>
            </w:r>
            <w:r w:rsidRPr="00E57E03">
              <w:rPr>
                <w:rFonts w:cs="Times New Roman"/>
                <w:color w:val="000000" w:themeColor="text1"/>
                <w:sz w:val="22"/>
              </w:rPr>
              <w:t>C</w:t>
            </w:r>
            <w:r w:rsidR="006F6ADF" w:rsidRPr="00E57E03">
              <w:rPr>
                <w:rFonts w:cs="Times New Roman"/>
                <w:color w:val="000000" w:themeColor="text1"/>
                <w:sz w:val="22"/>
              </w:rPr>
              <w:t>D</w:t>
            </w:r>
            <w:r w:rsidRPr="00E57E03">
              <w:rPr>
                <w:rFonts w:cs="Times New Roman"/>
                <w:color w:val="000000" w:themeColor="text1"/>
                <w:sz w:val="22"/>
              </w:rPr>
              <w:t xml:space="preserve"> of the Annual General Meeting of Shareholders dated April 26, 2021 of Petrolimex,</w:t>
            </w:r>
          </w:p>
        </w:tc>
        <w:tc>
          <w:tcPr>
            <w:tcW w:w="1434" w:type="pct"/>
          </w:tcPr>
          <w:p w14:paraId="68F4142C" w14:textId="581370A7" w:rsidR="004307BF" w:rsidRPr="004E539E" w:rsidRDefault="004307BF"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Pursuant to the Law on Enterprises No. 59/2020/QH14 dated June 17, 2020, the Law No. 76/2025/QH15 dated June 17, 2025 </w:t>
            </w:r>
            <w:r w:rsidR="005D410F" w:rsidRPr="00E57E03">
              <w:rPr>
                <w:rFonts w:cs="Times New Roman"/>
                <w:color w:val="000000" w:themeColor="text1"/>
                <w:sz w:val="22"/>
              </w:rPr>
              <w:t>and its amendments, supplements or replacements (if</w:t>
            </w:r>
            <w:r w:rsidRPr="004E539E">
              <w:rPr>
                <w:rFonts w:cs="Times New Roman"/>
                <w:color w:val="000000" w:themeColor="text1"/>
                <w:sz w:val="22"/>
                <w:u w:val="single"/>
              </w:rPr>
              <w:t xml:space="preserve"> any) from time to time</w:t>
            </w:r>
            <w:r w:rsidRPr="004E539E">
              <w:rPr>
                <w:rFonts w:cs="Times New Roman"/>
                <w:color w:val="000000" w:themeColor="text1"/>
                <w:sz w:val="22"/>
              </w:rPr>
              <w:t>;</w:t>
            </w:r>
          </w:p>
          <w:p w14:paraId="76B6DBE2" w14:textId="48C2BAB8" w:rsidR="004307BF" w:rsidRPr="00E57E03" w:rsidRDefault="004307BF"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Pursuant to the Law on Securities No. 54/2019/QH14 dated November 26, 2019, </w:t>
            </w:r>
            <w:r w:rsidRPr="00E57E03">
              <w:rPr>
                <w:rFonts w:cs="Times New Roman"/>
                <w:color w:val="000000" w:themeColor="text1"/>
                <w:sz w:val="22"/>
                <w:u w:val="single"/>
              </w:rPr>
              <w:t xml:space="preserve">the Law No. 56/2024/QH15 dated November 29, 2024 </w:t>
            </w:r>
            <w:r w:rsidR="005D410F" w:rsidRPr="00E57E03">
              <w:rPr>
                <w:rFonts w:cs="Times New Roman"/>
                <w:color w:val="000000" w:themeColor="text1"/>
                <w:sz w:val="22"/>
                <w:u w:val="single"/>
              </w:rPr>
              <w:t>and its amendments, supplements or replacements (if</w:t>
            </w:r>
            <w:r w:rsidRPr="00E57E03">
              <w:rPr>
                <w:rFonts w:cs="Times New Roman"/>
                <w:color w:val="000000" w:themeColor="text1"/>
                <w:sz w:val="22"/>
                <w:u w:val="single"/>
              </w:rPr>
              <w:t xml:space="preserve"> any) from time to time</w:t>
            </w:r>
            <w:r w:rsidRPr="00E57E03">
              <w:rPr>
                <w:rFonts w:cs="Times New Roman"/>
                <w:color w:val="000000" w:themeColor="text1"/>
                <w:sz w:val="22"/>
              </w:rPr>
              <w:t>;</w:t>
            </w:r>
          </w:p>
          <w:p w14:paraId="1D4C84D6" w14:textId="221FFC3E" w:rsidR="00D40004" w:rsidRPr="00E57E03" w:rsidRDefault="00263192"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u w:val="single"/>
              </w:rPr>
              <w:t xml:space="preserve">Pursuant to the Law on Management and Investment of State Capital in Enterprises No. 68/2025/QH15 dated June 14, 2025 </w:t>
            </w:r>
            <w:r w:rsidR="005D410F" w:rsidRPr="00E57E03">
              <w:rPr>
                <w:rFonts w:cs="Times New Roman"/>
                <w:color w:val="000000" w:themeColor="text1"/>
                <w:sz w:val="22"/>
                <w:u w:val="single"/>
              </w:rPr>
              <w:t>and its amendments, supplements or replacements (if</w:t>
            </w:r>
            <w:r w:rsidRPr="00E57E03">
              <w:rPr>
                <w:rFonts w:cs="Times New Roman"/>
                <w:color w:val="000000" w:themeColor="text1"/>
                <w:sz w:val="22"/>
                <w:u w:val="single"/>
              </w:rPr>
              <w:t xml:space="preserve"> any) from time to time;</w:t>
            </w:r>
          </w:p>
          <w:p w14:paraId="601E6FA0" w14:textId="22992BA8" w:rsidR="004307BF" w:rsidRPr="00E57E03" w:rsidRDefault="004307BF"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Pursuant to the Decree No. 155/2020/N</w:t>
            </w:r>
            <w:r w:rsidR="006F6ADF" w:rsidRPr="00E57E03">
              <w:rPr>
                <w:rFonts w:cs="Times New Roman"/>
                <w:color w:val="000000" w:themeColor="text1"/>
                <w:sz w:val="22"/>
              </w:rPr>
              <w:t>D</w:t>
            </w:r>
            <w:r w:rsidRPr="00E57E03">
              <w:rPr>
                <w:rFonts w:cs="Times New Roman"/>
                <w:color w:val="000000" w:themeColor="text1"/>
                <w:sz w:val="22"/>
              </w:rPr>
              <w:t xml:space="preserve">-CP of the Government dated December 31, 2020 on detailing the implementation of a number of Articles of the Law on Securities, the </w:t>
            </w:r>
            <w:r w:rsidRPr="00E57E03">
              <w:rPr>
                <w:rFonts w:cs="Times New Roman"/>
                <w:color w:val="000000" w:themeColor="text1"/>
                <w:sz w:val="22"/>
                <w:u w:val="single"/>
              </w:rPr>
              <w:t>Decree No. 245/2025/N</w:t>
            </w:r>
            <w:r w:rsidR="006F6ADF" w:rsidRPr="00E57E03">
              <w:rPr>
                <w:rFonts w:cs="Times New Roman"/>
                <w:color w:val="000000" w:themeColor="text1"/>
                <w:sz w:val="22"/>
                <w:u w:val="single"/>
              </w:rPr>
              <w:t>D</w:t>
            </w:r>
            <w:r w:rsidRPr="00E57E03">
              <w:rPr>
                <w:rFonts w:cs="Times New Roman"/>
                <w:color w:val="000000" w:themeColor="text1"/>
                <w:sz w:val="22"/>
                <w:u w:val="single"/>
              </w:rPr>
              <w:t>-CP of the Government dated September 11, 2025 on amending and supplementing a number of Articles of the Decree No. 155/2020/N</w:t>
            </w:r>
            <w:r w:rsidR="006F6ADF" w:rsidRPr="00E57E03">
              <w:rPr>
                <w:rFonts w:cs="Times New Roman"/>
                <w:color w:val="000000" w:themeColor="text1"/>
                <w:sz w:val="22"/>
                <w:u w:val="single"/>
              </w:rPr>
              <w:t>D</w:t>
            </w:r>
            <w:r w:rsidRPr="00E57E03">
              <w:rPr>
                <w:rFonts w:cs="Times New Roman"/>
                <w:color w:val="000000" w:themeColor="text1"/>
                <w:sz w:val="22"/>
                <w:u w:val="single"/>
              </w:rPr>
              <w:t>-CP of the Government dated December 31, 2025 on detailing the implementation of a number of Articles of the Law on Securities</w:t>
            </w:r>
            <w:r w:rsidRPr="00E57E03">
              <w:rPr>
                <w:rFonts w:cs="Times New Roman"/>
                <w:color w:val="000000" w:themeColor="text1"/>
                <w:sz w:val="22"/>
              </w:rPr>
              <w:t xml:space="preserve">, the </w:t>
            </w:r>
            <w:r w:rsidRPr="00E57E03">
              <w:rPr>
                <w:rFonts w:cs="Times New Roman"/>
                <w:color w:val="000000" w:themeColor="text1"/>
                <w:sz w:val="22"/>
              </w:rPr>
              <w:lastRenderedPageBreak/>
              <w:t>Circular No. 116/2020/TT-BTC of the Ministry of Finance dated December 31, 2020 guidelines for implementation of some articles on administration o</w:t>
            </w:r>
            <w:r w:rsidR="001E6C8F" w:rsidRPr="00E57E03">
              <w:rPr>
                <w:rFonts w:cs="Times New Roman"/>
                <w:color w:val="000000" w:themeColor="text1"/>
                <w:sz w:val="22"/>
              </w:rPr>
              <w:t>f</w:t>
            </w:r>
            <w:r w:rsidRPr="00E57E03">
              <w:rPr>
                <w:rFonts w:cs="Times New Roman"/>
                <w:color w:val="000000" w:themeColor="text1"/>
                <w:sz w:val="22"/>
              </w:rPr>
              <w:t xml:space="preserve"> public companies in the Decree No. 155/2020/ND-CP of the Government </w:t>
            </w:r>
            <w:r w:rsidR="005D410F" w:rsidRPr="00E57E03">
              <w:rPr>
                <w:rFonts w:cs="Times New Roman"/>
                <w:color w:val="000000" w:themeColor="text1"/>
                <w:sz w:val="22"/>
                <w:u w:val="single"/>
              </w:rPr>
              <w:t>and its amendments, supplements or replacements (if</w:t>
            </w:r>
            <w:r w:rsidRPr="00E57E03">
              <w:rPr>
                <w:rFonts w:cs="Times New Roman"/>
                <w:color w:val="000000" w:themeColor="text1"/>
                <w:sz w:val="22"/>
                <w:u w:val="single"/>
              </w:rPr>
              <w:t xml:space="preserve"> any) from time to time;</w:t>
            </w:r>
            <w:r w:rsidRPr="00E57E03">
              <w:rPr>
                <w:rFonts w:cs="Times New Roman"/>
                <w:color w:val="000000" w:themeColor="text1"/>
                <w:sz w:val="22"/>
              </w:rPr>
              <w:t xml:space="preserve"> </w:t>
            </w:r>
          </w:p>
          <w:p w14:paraId="0AAD3727" w14:textId="25A9B7B9" w:rsidR="004307BF" w:rsidRPr="00E57E03" w:rsidRDefault="004307BF"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Pursuant to Petrolimex's Charter approved on  dated....../....../2026 by the General Meeting of Shareholders;</w:t>
            </w:r>
          </w:p>
          <w:p w14:paraId="51F3BFB4" w14:textId="7B2D2C6B" w:rsidR="00F33741" w:rsidRPr="00E57E03" w:rsidRDefault="004307BF" w:rsidP="004307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Pursuant to the Resolution No. […] of the Annual General Meeting of Shareholders dated.]/ […] /[2026] of Petrolimex.</w:t>
            </w:r>
          </w:p>
        </w:tc>
        <w:tc>
          <w:tcPr>
            <w:tcW w:w="1272" w:type="pct"/>
          </w:tcPr>
          <w:p w14:paraId="0F0E3855" w14:textId="626C95C6" w:rsidR="00F33741" w:rsidRPr="00E57E03" w:rsidRDefault="00F33745"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Add more applicable legal documents in </w:t>
            </w:r>
            <w:r w:rsidRPr="00E57E03">
              <w:rPr>
                <w:rFonts w:cs="Times New Roman"/>
                <w:color w:val="000000" w:themeColor="text1"/>
                <w:sz w:val="22"/>
                <w:u w:val="single"/>
              </w:rPr>
              <w:t>underlined</w:t>
            </w:r>
            <w:r w:rsidRPr="00E57E03">
              <w:rPr>
                <w:rFonts w:cs="Times New Roman"/>
                <w:color w:val="000000" w:themeColor="text1"/>
                <w:sz w:val="22"/>
              </w:rPr>
              <w:t xml:space="preserve"> format as the basis to promulgate the Operation Regulation of the Board of Management.</w:t>
            </w:r>
          </w:p>
        </w:tc>
      </w:tr>
      <w:tr w:rsidR="00F33741" w:rsidRPr="00E57E03" w14:paraId="2E530EC6" w14:textId="77777777" w:rsidTr="0024588C">
        <w:trPr>
          <w:trHeight w:val="20"/>
        </w:trPr>
        <w:tc>
          <w:tcPr>
            <w:tcW w:w="261" w:type="pct"/>
          </w:tcPr>
          <w:p w14:paraId="6BECC2A6" w14:textId="77777777" w:rsidR="00F33741" w:rsidRPr="00E57E03" w:rsidRDefault="00F33741"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4F44DB1" w14:textId="1A67009B" w:rsidR="00F33741" w:rsidRPr="00E57E03" w:rsidRDefault="0012262A" w:rsidP="00B7620F">
            <w:pPr>
              <w:widowControl w:val="0"/>
              <w:adjustRightInd w:val="0"/>
              <w:snapToGrid w:val="0"/>
              <w:spacing w:before="60" w:after="60"/>
              <w:jc w:val="both"/>
              <w:rPr>
                <w:rFonts w:cs="Times New Roman"/>
                <w:sz w:val="22"/>
              </w:rPr>
            </w:pPr>
            <w:r w:rsidRPr="00E57E03">
              <w:rPr>
                <w:rFonts w:cs="Times New Roman"/>
                <w:sz w:val="22"/>
              </w:rPr>
              <w:t>Article 1, Clause 1</w:t>
            </w:r>
          </w:p>
        </w:tc>
        <w:tc>
          <w:tcPr>
            <w:tcW w:w="1416" w:type="pct"/>
          </w:tcPr>
          <w:p w14:paraId="5B557503" w14:textId="692C8C18" w:rsidR="00F33741" w:rsidRPr="00E57E03" w:rsidRDefault="00C660F7" w:rsidP="001D63FC">
            <w:pPr>
              <w:widowControl w:val="0"/>
              <w:adjustRightInd w:val="0"/>
              <w:snapToGrid w:val="0"/>
              <w:spacing w:before="60" w:after="60"/>
              <w:jc w:val="both"/>
              <w:rPr>
                <w:rFonts w:cs="Times New Roman"/>
                <w:bCs/>
                <w:color w:val="000000" w:themeColor="text1"/>
                <w:szCs w:val="24"/>
              </w:rPr>
            </w:pPr>
            <w:bookmarkStart w:id="1" w:name="_Hlk70532293"/>
            <w:r w:rsidRPr="00E57E03">
              <w:rPr>
                <w:rFonts w:cs="Times New Roman"/>
                <w:szCs w:val="24"/>
              </w:rPr>
              <w:t>The Operation Regulation of Petrolimex’s Board of Management</w:t>
            </w:r>
            <w:r w:rsidRPr="00E57E03">
              <w:rPr>
                <w:rFonts w:cs="Times New Roman"/>
                <w:color w:val="000000" w:themeColor="text1"/>
                <w:szCs w:val="24"/>
              </w:rPr>
              <w:t xml:space="preserve"> </w:t>
            </w:r>
            <w:bookmarkEnd w:id="1"/>
            <w:r w:rsidRPr="004E539E">
              <w:rPr>
                <w:rFonts w:cs="Times New Roman"/>
                <w:szCs w:val="24"/>
              </w:rPr>
              <w:t xml:space="preserve">specifies the </w:t>
            </w:r>
            <w:r w:rsidRPr="00E57E03">
              <w:rPr>
                <w:rFonts w:cs="Times New Roman"/>
                <w:color w:val="000000" w:themeColor="text1"/>
                <w:szCs w:val="24"/>
              </w:rPr>
              <w:t xml:space="preserve">organizational structure, operating principles, rights and obligations of the Board of Management and members of the Board of Management </w:t>
            </w:r>
            <w:r w:rsidR="001D63FC" w:rsidRPr="00E57E03">
              <w:rPr>
                <w:rFonts w:cs="Times New Roman"/>
                <w:color w:val="000000" w:themeColor="text1"/>
                <w:szCs w:val="24"/>
              </w:rPr>
              <w:t xml:space="preserve">to govern the organization and operation of the Board of Management and its members </w:t>
            </w:r>
            <w:r w:rsidRPr="00E57E03">
              <w:rPr>
                <w:rFonts w:cs="Times New Roman"/>
                <w:color w:val="000000" w:themeColor="text1"/>
                <w:szCs w:val="24"/>
              </w:rPr>
              <w:t>in accordance with the Law on Enterprises, the Law on Securities, Petrolimex Charter and other regulations of the relevant laws.</w:t>
            </w:r>
          </w:p>
        </w:tc>
        <w:tc>
          <w:tcPr>
            <w:tcW w:w="1434" w:type="pct"/>
          </w:tcPr>
          <w:p w14:paraId="7876DBB6" w14:textId="6D075A2B" w:rsidR="00F33741" w:rsidRPr="00E57E03" w:rsidRDefault="008B23EA" w:rsidP="000F3CDE">
            <w:pPr>
              <w:widowControl w:val="0"/>
              <w:adjustRightInd w:val="0"/>
              <w:snapToGrid w:val="0"/>
              <w:spacing w:before="60" w:after="60"/>
              <w:jc w:val="both"/>
              <w:rPr>
                <w:rFonts w:cs="Times New Roman"/>
                <w:bCs/>
                <w:color w:val="000000" w:themeColor="text1"/>
                <w:sz w:val="22"/>
              </w:rPr>
            </w:pPr>
            <w:r w:rsidRPr="004E539E">
              <w:rPr>
                <w:rFonts w:cs="Times New Roman"/>
                <w:color w:val="000000" w:themeColor="text1"/>
                <w:sz w:val="22"/>
              </w:rPr>
              <w:t>The Operation Regulation of Petrolimex’s Board of Management</w:t>
            </w:r>
            <w:r w:rsidRPr="00E57E03">
              <w:rPr>
                <w:rFonts w:cs="Times New Roman"/>
                <w:color w:val="000000" w:themeColor="text1"/>
                <w:sz w:val="22"/>
                <w:u w:val="single"/>
              </w:rPr>
              <w:t xml:space="preserve"> </w:t>
            </w:r>
            <w:r w:rsidRPr="00E57E03">
              <w:rPr>
                <w:rFonts w:cs="Times New Roman"/>
                <w:color w:val="000000" w:themeColor="text1"/>
                <w:sz w:val="22"/>
              </w:rPr>
              <w:t xml:space="preserve">specifies the organizational structure, operating principles, rights and obligations of the Board of Management and members of the Board of Management to </w:t>
            </w:r>
            <w:r w:rsidR="000F3CDE" w:rsidRPr="00E57E03">
              <w:rPr>
                <w:rFonts w:cs="Times New Roman"/>
                <w:color w:val="000000" w:themeColor="text1"/>
                <w:sz w:val="22"/>
              </w:rPr>
              <w:t xml:space="preserve">govern the organization and operation of the Board of Management and its members </w:t>
            </w:r>
            <w:r w:rsidRPr="00E57E03">
              <w:rPr>
                <w:rFonts w:cs="Times New Roman"/>
                <w:color w:val="000000" w:themeColor="text1"/>
                <w:sz w:val="22"/>
              </w:rPr>
              <w:t xml:space="preserve">in accordance with the Law on Enterprises, the </w:t>
            </w:r>
            <w:r w:rsidRPr="00E57E03">
              <w:rPr>
                <w:rFonts w:cs="Times New Roman"/>
                <w:color w:val="000000" w:themeColor="text1"/>
                <w:sz w:val="22"/>
                <w:u w:val="single"/>
              </w:rPr>
              <w:t>Law on Management and Investment of State Capital in Enterprises, the Law on Securities</w:t>
            </w:r>
            <w:r w:rsidRPr="00E57E03">
              <w:rPr>
                <w:rFonts w:cs="Times New Roman"/>
                <w:color w:val="000000" w:themeColor="text1"/>
                <w:sz w:val="22"/>
              </w:rPr>
              <w:t>, Petrolimex Charter and other regulations of the relevant laws</w:t>
            </w:r>
          </w:p>
        </w:tc>
        <w:tc>
          <w:tcPr>
            <w:tcW w:w="1272" w:type="pct"/>
          </w:tcPr>
          <w:p w14:paraId="02D7DD57" w14:textId="03B91DF8" w:rsidR="00F33741" w:rsidRPr="00E57E03" w:rsidRDefault="008F1C04"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Supplement the regulatory sources, governing Petrolimex operations, in accordance with Petrolimex’s actual scope of operation.</w:t>
            </w:r>
          </w:p>
        </w:tc>
      </w:tr>
      <w:tr w:rsidR="00A558E9" w:rsidRPr="00E57E03" w14:paraId="344B8B77" w14:textId="77777777" w:rsidTr="0024588C">
        <w:trPr>
          <w:trHeight w:val="20"/>
        </w:trPr>
        <w:tc>
          <w:tcPr>
            <w:tcW w:w="261" w:type="pct"/>
          </w:tcPr>
          <w:p w14:paraId="2C6A5755" w14:textId="77777777" w:rsidR="00A558E9" w:rsidRPr="00E57E03" w:rsidRDefault="00A558E9"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06A51FF7" w14:textId="50B6CAFE" w:rsidR="00A558E9" w:rsidRPr="00E57E03" w:rsidRDefault="00A558E9" w:rsidP="00B7620F">
            <w:pPr>
              <w:widowControl w:val="0"/>
              <w:adjustRightInd w:val="0"/>
              <w:snapToGrid w:val="0"/>
              <w:spacing w:before="60" w:after="60"/>
              <w:jc w:val="both"/>
              <w:rPr>
                <w:rFonts w:cs="Times New Roman"/>
                <w:sz w:val="22"/>
              </w:rPr>
            </w:pPr>
            <w:r w:rsidRPr="00E57E03">
              <w:rPr>
                <w:rFonts w:cs="Times New Roman"/>
                <w:sz w:val="22"/>
              </w:rPr>
              <w:t>Article 3, Clause 6</w:t>
            </w:r>
          </w:p>
        </w:tc>
        <w:tc>
          <w:tcPr>
            <w:tcW w:w="1416" w:type="pct"/>
          </w:tcPr>
          <w:p w14:paraId="07C7F02B" w14:textId="06EFCA89" w:rsidR="00A558E9" w:rsidRPr="00E57E03" w:rsidRDefault="00AF4FAF" w:rsidP="00E6623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6. “Group subsidiaries” refer to the companies, in which Petrolimex holds equity interests and exercises control. Subsidiaries are held in the forms of </w:t>
            </w:r>
            <w:r w:rsidRPr="00E57E03">
              <w:rPr>
                <w:rFonts w:cs="Times New Roman"/>
                <w:color w:val="000000" w:themeColor="text1"/>
                <w:sz w:val="22"/>
              </w:rPr>
              <w:lastRenderedPageBreak/>
              <w:t xml:space="preserve">Single Member </w:t>
            </w:r>
            <w:r w:rsidR="00E6623F" w:rsidRPr="00E57E03">
              <w:rPr>
                <w:rFonts w:cs="Times New Roman"/>
                <w:color w:val="000000" w:themeColor="text1"/>
                <w:sz w:val="22"/>
              </w:rPr>
              <w:t>Limited Liability C</w:t>
            </w:r>
            <w:r w:rsidR="00AF4808" w:rsidRPr="00E57E03">
              <w:rPr>
                <w:rFonts w:cs="Times New Roman"/>
                <w:color w:val="000000" w:themeColor="text1"/>
                <w:sz w:val="22"/>
              </w:rPr>
              <w:t>ompany</w:t>
            </w:r>
            <w:r w:rsidRPr="00E57E03">
              <w:rPr>
                <w:rFonts w:cs="Times New Roman"/>
                <w:color w:val="000000" w:themeColor="text1"/>
                <w:sz w:val="22"/>
              </w:rPr>
              <w:t xml:space="preserve">, </w:t>
            </w:r>
            <w:r w:rsidR="00AF4808" w:rsidRPr="00E57E03">
              <w:rPr>
                <w:rFonts w:cs="Times New Roman"/>
                <w:color w:val="000000" w:themeColor="text1"/>
                <w:sz w:val="22"/>
              </w:rPr>
              <w:t xml:space="preserve">Limited </w:t>
            </w:r>
            <w:r w:rsidR="00E6623F" w:rsidRPr="00E57E03">
              <w:rPr>
                <w:rFonts w:cs="Times New Roman"/>
                <w:color w:val="000000" w:themeColor="text1"/>
                <w:sz w:val="22"/>
              </w:rPr>
              <w:t xml:space="preserve">Liability Company </w:t>
            </w:r>
            <w:r w:rsidRPr="00E57E03">
              <w:rPr>
                <w:rFonts w:cs="Times New Roman"/>
                <w:color w:val="000000" w:themeColor="text1"/>
                <w:sz w:val="22"/>
              </w:rPr>
              <w:t>with t</w:t>
            </w:r>
            <w:r w:rsidR="00AF4808" w:rsidRPr="00E57E03">
              <w:rPr>
                <w:rFonts w:cs="Times New Roman"/>
                <w:color w:val="000000" w:themeColor="text1"/>
                <w:sz w:val="22"/>
              </w:rPr>
              <w:t>w</w:t>
            </w:r>
            <w:r w:rsidRPr="00E57E03">
              <w:rPr>
                <w:rFonts w:cs="Times New Roman"/>
                <w:color w:val="000000" w:themeColor="text1"/>
                <w:sz w:val="22"/>
              </w:rPr>
              <w:t xml:space="preserve">o </w:t>
            </w:r>
            <w:r w:rsidR="00AF4808" w:rsidRPr="00E57E03">
              <w:rPr>
                <w:rFonts w:cs="Times New Roman"/>
                <w:color w:val="000000" w:themeColor="text1"/>
                <w:sz w:val="22"/>
              </w:rPr>
              <w:t>or more m</w:t>
            </w:r>
            <w:r w:rsidRPr="00E57E03">
              <w:rPr>
                <w:rFonts w:cs="Times New Roman"/>
                <w:color w:val="000000" w:themeColor="text1"/>
                <w:sz w:val="22"/>
              </w:rPr>
              <w:t>embers, Joint Stock Company, Corporation in the form of Parent Company - Subsidiary, foreign company and other forms as prescribed by the laws.</w:t>
            </w:r>
          </w:p>
        </w:tc>
        <w:tc>
          <w:tcPr>
            <w:tcW w:w="1434" w:type="pct"/>
          </w:tcPr>
          <w:p w14:paraId="08350E4F" w14:textId="349CB28F" w:rsidR="00FC6D8A" w:rsidRPr="00E57E03" w:rsidRDefault="00FC6D8A" w:rsidP="00FC6D8A">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rPr>
              <w:lastRenderedPageBreak/>
              <w:t xml:space="preserve">6. “Group subsidiaries” refer to </w:t>
            </w:r>
            <w:r w:rsidRPr="00E57E03">
              <w:rPr>
                <w:rFonts w:cs="Times New Roman"/>
                <w:color w:val="000000" w:themeColor="text1"/>
                <w:sz w:val="22"/>
                <w:u w:val="single"/>
              </w:rPr>
              <w:t xml:space="preserve">entities </w:t>
            </w:r>
            <w:r w:rsidR="000F3CDE" w:rsidRPr="00E57E03">
              <w:rPr>
                <w:rFonts w:cs="Times New Roman"/>
                <w:color w:val="000000" w:themeColor="text1"/>
                <w:sz w:val="22"/>
                <w:u w:val="single"/>
              </w:rPr>
              <w:t xml:space="preserve">that </w:t>
            </w:r>
            <w:r w:rsidRPr="00E57E03">
              <w:rPr>
                <w:rFonts w:cs="Times New Roman"/>
                <w:color w:val="000000" w:themeColor="text1"/>
                <w:sz w:val="22"/>
                <w:u w:val="single"/>
              </w:rPr>
              <w:t xml:space="preserve">fall into one of following </w:t>
            </w:r>
            <w:r w:rsidR="000F3CDE" w:rsidRPr="00E57E03">
              <w:rPr>
                <w:rFonts w:cs="Times New Roman"/>
                <w:color w:val="000000" w:themeColor="text1"/>
                <w:sz w:val="22"/>
                <w:u w:val="single"/>
              </w:rPr>
              <w:t>cases</w:t>
            </w:r>
            <w:r w:rsidRPr="00E57E03">
              <w:rPr>
                <w:rFonts w:cs="Times New Roman"/>
                <w:color w:val="000000" w:themeColor="text1"/>
                <w:sz w:val="22"/>
                <w:u w:val="single"/>
              </w:rPr>
              <w:t>:</w:t>
            </w:r>
          </w:p>
          <w:p w14:paraId="7672ADA9" w14:textId="4642D1F0" w:rsidR="00FC6D8A" w:rsidRPr="00E57E03" w:rsidRDefault="000D1059" w:rsidP="00FC6D8A">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u w:val="single"/>
              </w:rPr>
              <w:t xml:space="preserve">a) Petrolimex owns over 50% of charter capital or total ordinary shares of such </w:t>
            </w:r>
            <w:r w:rsidRPr="00E57E03">
              <w:rPr>
                <w:rFonts w:cs="Times New Roman"/>
                <w:color w:val="000000" w:themeColor="text1"/>
                <w:sz w:val="22"/>
                <w:u w:val="single"/>
              </w:rPr>
              <w:lastRenderedPageBreak/>
              <w:t>entity;</w:t>
            </w:r>
          </w:p>
          <w:p w14:paraId="287D18BE" w14:textId="0C7CCE37" w:rsidR="00FC6D8A" w:rsidRPr="00E57E03" w:rsidRDefault="000D1059" w:rsidP="00FC6D8A">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u w:val="single"/>
              </w:rPr>
              <w:t>b) Other cases as prescribed by the Law on Enterprises.</w:t>
            </w:r>
          </w:p>
          <w:p w14:paraId="1C556642" w14:textId="4CD7949E" w:rsidR="00A558E9" w:rsidRPr="00E57E03" w:rsidRDefault="00FC6D8A" w:rsidP="00AF480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Subsidiaries are held in the forms of Single Member </w:t>
            </w:r>
            <w:r w:rsidR="00AF4808" w:rsidRPr="00E57E03">
              <w:rPr>
                <w:rFonts w:cs="Times New Roman"/>
                <w:color w:val="000000" w:themeColor="text1"/>
                <w:sz w:val="22"/>
              </w:rPr>
              <w:t>Limited liability company</w:t>
            </w:r>
            <w:r w:rsidRPr="00E57E03">
              <w:rPr>
                <w:rFonts w:cs="Times New Roman"/>
                <w:color w:val="000000" w:themeColor="text1"/>
                <w:sz w:val="22"/>
              </w:rPr>
              <w:t xml:space="preserve">, </w:t>
            </w:r>
            <w:r w:rsidR="000F3CDE" w:rsidRPr="00E57E03">
              <w:rPr>
                <w:rFonts w:cs="Times New Roman"/>
                <w:color w:val="000000" w:themeColor="text1"/>
                <w:sz w:val="22"/>
              </w:rPr>
              <w:t>limited l</w:t>
            </w:r>
            <w:r w:rsidRPr="00E57E03">
              <w:rPr>
                <w:rFonts w:cs="Times New Roman"/>
                <w:color w:val="000000" w:themeColor="text1"/>
                <w:sz w:val="22"/>
              </w:rPr>
              <w:t>iability Limited Company with t</w:t>
            </w:r>
            <w:r w:rsidR="00AF4808" w:rsidRPr="00E57E03">
              <w:rPr>
                <w:rFonts w:cs="Times New Roman"/>
                <w:color w:val="000000" w:themeColor="text1"/>
                <w:sz w:val="22"/>
              </w:rPr>
              <w:t>w</w:t>
            </w:r>
            <w:r w:rsidRPr="00E57E03">
              <w:rPr>
                <w:rFonts w:cs="Times New Roman"/>
                <w:color w:val="000000" w:themeColor="text1"/>
                <w:sz w:val="22"/>
              </w:rPr>
              <w:t xml:space="preserve">o </w:t>
            </w:r>
            <w:r w:rsidR="00AF4808" w:rsidRPr="00E57E03">
              <w:rPr>
                <w:rFonts w:cs="Times New Roman"/>
                <w:color w:val="000000" w:themeColor="text1"/>
                <w:sz w:val="22"/>
              </w:rPr>
              <w:t>or more m</w:t>
            </w:r>
            <w:r w:rsidRPr="00E57E03">
              <w:rPr>
                <w:rFonts w:cs="Times New Roman"/>
                <w:color w:val="000000" w:themeColor="text1"/>
                <w:sz w:val="22"/>
              </w:rPr>
              <w:t>embers, Joint Stock Company, Corporation in the form of Parent Company - Subsidiary, foreign company and other forms as prescribed by the laws.</w:t>
            </w:r>
          </w:p>
        </w:tc>
        <w:tc>
          <w:tcPr>
            <w:tcW w:w="1272" w:type="pct"/>
          </w:tcPr>
          <w:p w14:paraId="1340B424" w14:textId="5D4B0CE1" w:rsidR="006F6854" w:rsidRPr="00E57E03" w:rsidRDefault="00C5550A"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Amend the </w:t>
            </w:r>
            <w:r w:rsidRPr="00E57E03">
              <w:rPr>
                <w:rFonts w:cs="Times New Roman"/>
                <w:color w:val="000000" w:themeColor="text1"/>
                <w:sz w:val="22"/>
                <w:u w:val="single"/>
              </w:rPr>
              <w:t>underlined</w:t>
            </w:r>
            <w:r w:rsidRPr="00E57E03">
              <w:rPr>
                <w:rFonts w:cs="Times New Roman"/>
                <w:color w:val="000000" w:themeColor="text1"/>
                <w:sz w:val="22"/>
              </w:rPr>
              <w:t xml:space="preserve"> paragraph to ensure compliance with definitions at Article 1, Clause 2, point b of the 2026 Draft Charter.</w:t>
            </w:r>
          </w:p>
        </w:tc>
      </w:tr>
      <w:tr w:rsidR="008E5D37" w:rsidRPr="00E57E03" w14:paraId="635246B7" w14:textId="77777777" w:rsidTr="0024588C">
        <w:trPr>
          <w:trHeight w:val="20"/>
        </w:trPr>
        <w:tc>
          <w:tcPr>
            <w:tcW w:w="261" w:type="pct"/>
          </w:tcPr>
          <w:p w14:paraId="600009D8" w14:textId="77777777" w:rsidR="008E5D37" w:rsidRPr="00E57E03" w:rsidRDefault="008E5D37"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C869F8C" w14:textId="7F43D4C7" w:rsidR="008E5D37" w:rsidRPr="00E57E03" w:rsidRDefault="008E5D37" w:rsidP="00B7620F">
            <w:pPr>
              <w:widowControl w:val="0"/>
              <w:adjustRightInd w:val="0"/>
              <w:snapToGrid w:val="0"/>
              <w:spacing w:before="60" w:after="60"/>
              <w:jc w:val="both"/>
              <w:rPr>
                <w:rFonts w:cs="Times New Roman"/>
                <w:sz w:val="22"/>
              </w:rPr>
            </w:pPr>
            <w:r w:rsidRPr="00E57E03">
              <w:rPr>
                <w:rFonts w:cs="Times New Roman"/>
                <w:sz w:val="22"/>
              </w:rPr>
              <w:t>Article 3, Clause 7</w:t>
            </w:r>
          </w:p>
        </w:tc>
        <w:tc>
          <w:tcPr>
            <w:tcW w:w="1416" w:type="pct"/>
          </w:tcPr>
          <w:p w14:paraId="53A3B645" w14:textId="17C5954E" w:rsidR="008E5D37" w:rsidRPr="00E57E03" w:rsidRDefault="00C11EA5"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7. “Group’s member enterprises” refer to enterprises in which Petrolimex or its subsidiaries hold 100% of the charter capital, or hold controlling shares/equity interests, or otherwise exercise control</w:t>
            </w:r>
          </w:p>
        </w:tc>
        <w:tc>
          <w:tcPr>
            <w:tcW w:w="1434" w:type="pct"/>
          </w:tcPr>
          <w:p w14:paraId="4A944B02" w14:textId="14570580" w:rsidR="008E5D37" w:rsidRPr="00E57E03" w:rsidRDefault="00ED2387" w:rsidP="00FC6D8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7. "Group’s member enterprises"</w:t>
            </w:r>
            <w:r w:rsidRPr="00E57E03">
              <w:rPr>
                <w:rFonts w:cs="Times New Roman"/>
                <w:color w:val="000000" w:themeColor="text1"/>
                <w:sz w:val="22"/>
                <w:u w:val="single"/>
              </w:rPr>
              <w:t xml:space="preserve"> include</w:t>
            </w:r>
            <w:r w:rsidRPr="00E57E03">
              <w:rPr>
                <w:rFonts w:cs="Times New Roman"/>
                <w:color w:val="000000" w:themeColor="text1"/>
                <w:sz w:val="22"/>
              </w:rPr>
              <w:t xml:space="preserve"> entities having Parent Company as</w:t>
            </w:r>
            <w:r w:rsidRPr="00E57E03">
              <w:rPr>
                <w:rFonts w:cs="Times New Roman"/>
                <w:color w:val="000000" w:themeColor="text1"/>
                <w:sz w:val="22"/>
                <w:u w:val="single"/>
              </w:rPr>
              <w:t xml:space="preserve"> Petrolimex and/or</w:t>
            </w:r>
            <w:r w:rsidRPr="00E57E03">
              <w:rPr>
                <w:rFonts w:cs="Times New Roman"/>
                <w:color w:val="000000" w:themeColor="text1"/>
                <w:sz w:val="22"/>
              </w:rPr>
              <w:t xml:space="preserve"> its Subsidiaries.</w:t>
            </w:r>
          </w:p>
        </w:tc>
        <w:tc>
          <w:tcPr>
            <w:tcW w:w="1272" w:type="pct"/>
          </w:tcPr>
          <w:p w14:paraId="360E72AE" w14:textId="79AEC75B" w:rsidR="008E5D37" w:rsidRPr="00E57E03" w:rsidRDefault="00ED2387"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Amend the </w:t>
            </w:r>
            <w:r w:rsidRPr="00E57E03">
              <w:rPr>
                <w:rFonts w:cs="Times New Roman"/>
                <w:color w:val="000000" w:themeColor="text1"/>
                <w:sz w:val="22"/>
                <w:u w:val="single"/>
              </w:rPr>
              <w:t>underlined</w:t>
            </w:r>
            <w:r w:rsidRPr="00E57E03">
              <w:rPr>
                <w:rFonts w:cs="Times New Roman"/>
                <w:color w:val="000000" w:themeColor="text1"/>
                <w:sz w:val="22"/>
              </w:rPr>
              <w:t xml:space="preserve"> paragraph to ensure compliance with definitions at Article 1, Clause 2, point d of the 2026 Draft Charter.</w:t>
            </w:r>
          </w:p>
        </w:tc>
      </w:tr>
      <w:tr w:rsidR="00A16F45" w:rsidRPr="00E57E03" w14:paraId="5D1981CA" w14:textId="77777777" w:rsidTr="0024588C">
        <w:trPr>
          <w:trHeight w:val="20"/>
        </w:trPr>
        <w:tc>
          <w:tcPr>
            <w:tcW w:w="261" w:type="pct"/>
          </w:tcPr>
          <w:p w14:paraId="50D765EA" w14:textId="77777777" w:rsidR="00A16F45" w:rsidRPr="00E57E03" w:rsidRDefault="00A16F45"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26DA4D6" w14:textId="0914E2F6" w:rsidR="00A16F45" w:rsidRPr="00E57E03" w:rsidRDefault="00A16F45" w:rsidP="00B7620F">
            <w:pPr>
              <w:widowControl w:val="0"/>
              <w:adjustRightInd w:val="0"/>
              <w:snapToGrid w:val="0"/>
              <w:spacing w:before="60" w:after="60"/>
              <w:jc w:val="both"/>
              <w:rPr>
                <w:rFonts w:cs="Times New Roman"/>
                <w:sz w:val="22"/>
              </w:rPr>
            </w:pPr>
            <w:r w:rsidRPr="00E57E03">
              <w:rPr>
                <w:rFonts w:cs="Times New Roman"/>
                <w:sz w:val="22"/>
              </w:rPr>
              <w:t>Article 4 Clause 1</w:t>
            </w:r>
          </w:p>
        </w:tc>
        <w:tc>
          <w:tcPr>
            <w:tcW w:w="1416" w:type="pct"/>
          </w:tcPr>
          <w:p w14:paraId="735995FB" w14:textId="2B66F7A0" w:rsidR="00A16F45" w:rsidRPr="00E57E03" w:rsidRDefault="00960CAB"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The BOM members have full rights as prescribed by the Law on Securities, the relevant laws and Petrolimex Charter.</w:t>
            </w:r>
          </w:p>
        </w:tc>
        <w:tc>
          <w:tcPr>
            <w:tcW w:w="1434" w:type="pct"/>
          </w:tcPr>
          <w:p w14:paraId="4EDBC248" w14:textId="6379E179" w:rsidR="00A16F45" w:rsidRPr="00E57E03" w:rsidRDefault="00032761" w:rsidP="00FC6D8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1. The BOM members have full rights as prescribed by the </w:t>
            </w:r>
            <w:r w:rsidRPr="00E57E03">
              <w:rPr>
                <w:rFonts w:cs="Times New Roman"/>
                <w:color w:val="000000" w:themeColor="text1"/>
                <w:sz w:val="22"/>
                <w:u w:val="single"/>
              </w:rPr>
              <w:t>Law on Enterprises</w:t>
            </w:r>
            <w:r w:rsidRPr="00E57E03">
              <w:rPr>
                <w:rFonts w:cs="Times New Roman"/>
                <w:color w:val="000000" w:themeColor="text1"/>
                <w:sz w:val="22"/>
              </w:rPr>
              <w:t xml:space="preserve">, the Law on Securities, the relevant laws, the Petrolimex's Charter </w:t>
            </w:r>
            <w:r w:rsidRPr="00E57E03">
              <w:rPr>
                <w:rFonts w:cs="Times New Roman"/>
                <w:color w:val="000000" w:themeColor="text1"/>
                <w:sz w:val="22"/>
                <w:u w:val="single"/>
              </w:rPr>
              <w:t>and internal regulations.</w:t>
            </w:r>
          </w:p>
        </w:tc>
        <w:tc>
          <w:tcPr>
            <w:tcW w:w="1272" w:type="pct"/>
          </w:tcPr>
          <w:p w14:paraId="5FB926FC" w14:textId="670D5BB4" w:rsidR="00A16F45" w:rsidRPr="00E57E03" w:rsidRDefault="00032761"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Add the Law on Enterprises - as a main source to govern the contents of BOM members’ rights; also, add the internal regulations because such regulations also specify the regulations on rights and obligations of the members of Board of Management (for example, Internal Governance Regulation of Petrolimex).</w:t>
            </w:r>
          </w:p>
        </w:tc>
      </w:tr>
      <w:tr w:rsidR="00486D63" w:rsidRPr="00E57E03" w14:paraId="136B43F2" w14:textId="77777777" w:rsidTr="0024588C">
        <w:trPr>
          <w:trHeight w:val="20"/>
        </w:trPr>
        <w:tc>
          <w:tcPr>
            <w:tcW w:w="261" w:type="pct"/>
          </w:tcPr>
          <w:p w14:paraId="484B0603" w14:textId="77777777" w:rsidR="00486D63" w:rsidRPr="00E57E03" w:rsidRDefault="00486D63"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01328233" w14:textId="4B80CEC0" w:rsidR="00486D63" w:rsidRPr="00E57E03" w:rsidRDefault="00486D63" w:rsidP="00B7620F">
            <w:pPr>
              <w:widowControl w:val="0"/>
              <w:adjustRightInd w:val="0"/>
              <w:snapToGrid w:val="0"/>
              <w:spacing w:before="60" w:after="60"/>
              <w:jc w:val="both"/>
              <w:rPr>
                <w:rFonts w:cs="Times New Roman"/>
                <w:sz w:val="22"/>
              </w:rPr>
            </w:pPr>
            <w:r w:rsidRPr="004E539E">
              <w:rPr>
                <w:rFonts w:cs="Times New Roman"/>
                <w:sz w:val="22"/>
              </w:rPr>
              <w:t>Article 4 Clause 2</w:t>
            </w:r>
          </w:p>
        </w:tc>
        <w:tc>
          <w:tcPr>
            <w:tcW w:w="1416" w:type="pct"/>
          </w:tcPr>
          <w:p w14:paraId="09B9A198" w14:textId="216A5AF7" w:rsidR="00486D63" w:rsidRPr="00E57E03" w:rsidRDefault="00960CAB"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Members of the BOM have obligations as prescribed by the Petrolimex Charter following obligations:</w:t>
            </w:r>
          </w:p>
        </w:tc>
        <w:tc>
          <w:tcPr>
            <w:tcW w:w="1434" w:type="pct"/>
          </w:tcPr>
          <w:p w14:paraId="3178E723" w14:textId="13A889AD" w:rsidR="00486D63" w:rsidRPr="00E57E03" w:rsidRDefault="00A16F45" w:rsidP="00FC6D8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Members of the BOM have obligations as prescribed by the relevant provisions of </w:t>
            </w:r>
            <w:r w:rsidRPr="00E57E03">
              <w:rPr>
                <w:rFonts w:cs="Times New Roman"/>
                <w:color w:val="000000" w:themeColor="text1"/>
                <w:sz w:val="22"/>
                <w:u w:val="single"/>
              </w:rPr>
              <w:t>the relevant laws</w:t>
            </w:r>
            <w:r w:rsidRPr="00E57E03">
              <w:rPr>
                <w:rFonts w:cs="Times New Roman"/>
                <w:color w:val="000000" w:themeColor="text1"/>
                <w:sz w:val="22"/>
              </w:rPr>
              <w:t xml:space="preserve">, the Charter, </w:t>
            </w:r>
            <w:r w:rsidRPr="00E57E03">
              <w:rPr>
                <w:rFonts w:cs="Times New Roman"/>
                <w:color w:val="000000" w:themeColor="text1"/>
                <w:sz w:val="22"/>
                <w:u w:val="single"/>
              </w:rPr>
              <w:t>the internal regulations of</w:t>
            </w:r>
            <w:r w:rsidRPr="00E57E03">
              <w:rPr>
                <w:rFonts w:cs="Times New Roman"/>
                <w:color w:val="000000" w:themeColor="text1"/>
                <w:sz w:val="22"/>
              </w:rPr>
              <w:t xml:space="preserve"> Petrolimex and following obligations:</w:t>
            </w:r>
          </w:p>
        </w:tc>
        <w:tc>
          <w:tcPr>
            <w:tcW w:w="1272" w:type="pct"/>
          </w:tcPr>
          <w:p w14:paraId="0648016C" w14:textId="171AB418" w:rsidR="00486D63" w:rsidRPr="00E57E03" w:rsidRDefault="003D4C42"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Add the </w:t>
            </w:r>
            <w:r w:rsidRPr="00E57E03">
              <w:rPr>
                <w:rFonts w:cs="Times New Roman"/>
                <w:color w:val="000000" w:themeColor="text1"/>
                <w:sz w:val="22"/>
                <w:u w:val="single"/>
              </w:rPr>
              <w:t>underlined</w:t>
            </w:r>
            <w:r w:rsidRPr="00E57E03">
              <w:rPr>
                <w:rFonts w:cs="Times New Roman"/>
                <w:color w:val="000000" w:themeColor="text1"/>
                <w:sz w:val="22"/>
              </w:rPr>
              <w:t xml:space="preserve"> internal governance regulations because such regulations also specify the obligations of BOM members (for example, Petrolimex’s Internal Governance Regulation).</w:t>
            </w:r>
          </w:p>
        </w:tc>
      </w:tr>
      <w:tr w:rsidR="00F33741" w:rsidRPr="00E57E03" w14:paraId="2EA79143" w14:textId="77777777" w:rsidTr="0024588C">
        <w:trPr>
          <w:trHeight w:val="20"/>
        </w:trPr>
        <w:tc>
          <w:tcPr>
            <w:tcW w:w="261" w:type="pct"/>
          </w:tcPr>
          <w:p w14:paraId="40DAE3C8" w14:textId="77777777" w:rsidR="00F33741" w:rsidRPr="00E57E03" w:rsidRDefault="00F33741"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28614E25" w14:textId="60ECEFD4" w:rsidR="00F33741" w:rsidRPr="00E57E03" w:rsidRDefault="002F2298" w:rsidP="00B7620F">
            <w:pPr>
              <w:widowControl w:val="0"/>
              <w:adjustRightInd w:val="0"/>
              <w:snapToGrid w:val="0"/>
              <w:spacing w:before="60" w:after="60"/>
              <w:jc w:val="both"/>
              <w:rPr>
                <w:rFonts w:cs="Times New Roman"/>
                <w:sz w:val="22"/>
              </w:rPr>
            </w:pPr>
            <w:r w:rsidRPr="004E539E">
              <w:rPr>
                <w:rFonts w:cs="Times New Roman"/>
                <w:sz w:val="22"/>
              </w:rPr>
              <w:t xml:space="preserve">Article 4, </w:t>
            </w:r>
            <w:r w:rsidRPr="004E539E">
              <w:rPr>
                <w:rFonts w:cs="Times New Roman"/>
                <w:sz w:val="22"/>
              </w:rPr>
              <w:lastRenderedPageBreak/>
              <w:t>Clause 3</w:t>
            </w:r>
          </w:p>
        </w:tc>
        <w:tc>
          <w:tcPr>
            <w:tcW w:w="1416" w:type="pct"/>
          </w:tcPr>
          <w:p w14:paraId="37FF96CB" w14:textId="3CE8B946" w:rsidR="00F33741" w:rsidRPr="00E57E03" w:rsidRDefault="002F2298"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lastRenderedPageBreak/>
              <w:t xml:space="preserve">Independent member of Petrolimex’s </w:t>
            </w:r>
            <w:r w:rsidRPr="00E57E03">
              <w:rPr>
                <w:rFonts w:cs="Times New Roman"/>
                <w:color w:val="000000" w:themeColor="text1"/>
                <w:sz w:val="22"/>
              </w:rPr>
              <w:lastRenderedPageBreak/>
              <w:t>BOM must prepare the report on BOM’s operation assessment.</w:t>
            </w:r>
          </w:p>
        </w:tc>
        <w:tc>
          <w:tcPr>
            <w:tcW w:w="1434" w:type="pct"/>
          </w:tcPr>
          <w:p w14:paraId="6348A9CF" w14:textId="0610AFD6" w:rsidR="00F33741" w:rsidRPr="00E57E03" w:rsidRDefault="003002FE" w:rsidP="00A0342E">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u w:val="single"/>
              </w:rPr>
              <w:lastRenderedPageBreak/>
              <w:t>Each</w:t>
            </w:r>
            <w:r w:rsidRPr="00E57E03">
              <w:rPr>
                <w:rFonts w:cs="Times New Roman"/>
                <w:color w:val="000000" w:themeColor="text1"/>
                <w:sz w:val="22"/>
              </w:rPr>
              <w:t xml:space="preserve"> independent member of </w:t>
            </w:r>
            <w:r w:rsidRPr="00E57E03">
              <w:rPr>
                <w:rFonts w:cs="Times New Roman"/>
                <w:color w:val="000000" w:themeColor="text1"/>
                <w:sz w:val="22"/>
              </w:rPr>
              <w:lastRenderedPageBreak/>
              <w:t>Petrolimex’s BOM must prepare the report on BOM’s operation assessment.</w:t>
            </w:r>
          </w:p>
        </w:tc>
        <w:tc>
          <w:tcPr>
            <w:tcW w:w="1272" w:type="pct"/>
          </w:tcPr>
          <w:p w14:paraId="02FB6622" w14:textId="033E9FB7" w:rsidR="00BE1A6C" w:rsidRPr="00E57E03" w:rsidRDefault="00BE1A6C"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Amend to ensure compliance with </w:t>
            </w:r>
            <w:r w:rsidRPr="00E57E03">
              <w:rPr>
                <w:rFonts w:cs="Times New Roman"/>
                <w:color w:val="000000" w:themeColor="text1"/>
                <w:sz w:val="22"/>
              </w:rPr>
              <w:lastRenderedPageBreak/>
              <w:t>of the Decree No. 245/2025/ND-CP, Article 1, Clause 80.</w:t>
            </w:r>
          </w:p>
          <w:p w14:paraId="75A74FA6" w14:textId="77777777" w:rsidR="00F33741" w:rsidRPr="00E57E03" w:rsidRDefault="00F33741" w:rsidP="00B7620F">
            <w:pPr>
              <w:widowControl w:val="0"/>
              <w:adjustRightInd w:val="0"/>
              <w:snapToGrid w:val="0"/>
              <w:spacing w:before="60" w:after="60"/>
              <w:jc w:val="both"/>
              <w:rPr>
                <w:rFonts w:cs="Times New Roman"/>
                <w:color w:val="000000" w:themeColor="text1"/>
                <w:sz w:val="22"/>
              </w:rPr>
            </w:pPr>
          </w:p>
        </w:tc>
      </w:tr>
      <w:tr w:rsidR="00C82A12" w:rsidRPr="00E57E03" w14:paraId="17264E3B" w14:textId="77777777" w:rsidTr="0024588C">
        <w:trPr>
          <w:trHeight w:val="20"/>
        </w:trPr>
        <w:tc>
          <w:tcPr>
            <w:tcW w:w="261" w:type="pct"/>
          </w:tcPr>
          <w:p w14:paraId="55D65276" w14:textId="77777777" w:rsidR="00C82A12" w:rsidRPr="00E57E03" w:rsidRDefault="00C82A12" w:rsidP="00C82A12">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A2655B5" w14:textId="114C18AD" w:rsidR="00C82A12" w:rsidRPr="00E57E03" w:rsidRDefault="00C82A12" w:rsidP="00C82A12">
            <w:pPr>
              <w:widowControl w:val="0"/>
              <w:adjustRightInd w:val="0"/>
              <w:snapToGrid w:val="0"/>
              <w:spacing w:before="60" w:after="60"/>
              <w:jc w:val="both"/>
              <w:rPr>
                <w:rFonts w:cs="Times New Roman"/>
                <w:sz w:val="22"/>
              </w:rPr>
            </w:pPr>
            <w:r w:rsidRPr="00E57E03">
              <w:rPr>
                <w:rFonts w:cs="Times New Roman"/>
                <w:color w:val="000000" w:themeColor="text1"/>
                <w:sz w:val="22"/>
              </w:rPr>
              <w:t>Article 5, Clause 2</w:t>
            </w:r>
          </w:p>
        </w:tc>
        <w:tc>
          <w:tcPr>
            <w:tcW w:w="1416" w:type="pct"/>
          </w:tcPr>
          <w:p w14:paraId="4BB2B641" w14:textId="2F5B5CBF" w:rsidR="00C82A12" w:rsidRPr="00E57E03" w:rsidRDefault="00C82A12" w:rsidP="00C82A12">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2. The concerned manager must timely, accurately and fully provide the concerned information and documents as per request of BOM members. Sequences and procedures of the information request and provision shall be specified by Petrolimex Charter.</w:t>
            </w:r>
          </w:p>
        </w:tc>
        <w:tc>
          <w:tcPr>
            <w:tcW w:w="1434" w:type="pct"/>
          </w:tcPr>
          <w:p w14:paraId="2206A99E" w14:textId="5F01D231" w:rsidR="00C82A12" w:rsidRPr="00E57E03" w:rsidRDefault="00C82A12" w:rsidP="00C82A12">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rPr>
              <w:t>2. The concerned manager must timely, accurately and fully provide the concerned information and documents as per request of BOM members. Sequences and procedures of the information request and provision shall be determined by</w:t>
            </w:r>
            <w:r w:rsidRPr="00E57E03">
              <w:rPr>
                <w:rFonts w:cs="Times New Roman"/>
                <w:strike/>
                <w:color w:val="000000" w:themeColor="text1"/>
                <w:sz w:val="22"/>
              </w:rPr>
              <w:t xml:space="preserve"> Petrolimex Charter</w:t>
            </w:r>
            <w:r w:rsidRPr="00E57E03">
              <w:rPr>
                <w:rFonts w:cs="Times New Roman"/>
                <w:color w:val="000000" w:themeColor="text1"/>
                <w:sz w:val="22"/>
              </w:rPr>
              <w:t xml:space="preserve"> the BOM.</w:t>
            </w:r>
          </w:p>
        </w:tc>
        <w:tc>
          <w:tcPr>
            <w:tcW w:w="1272" w:type="pct"/>
          </w:tcPr>
          <w:p w14:paraId="74A5C93E" w14:textId="4D9E5D7B" w:rsidR="00C82A12" w:rsidRPr="00E57E03" w:rsidRDefault="00C82A12" w:rsidP="00C82A12">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Contents of “</w:t>
            </w:r>
            <w:r w:rsidRPr="00E57E03">
              <w:rPr>
                <w:rFonts w:cs="Times New Roman"/>
                <w:i/>
                <w:iCs/>
                <w:color w:val="000000" w:themeColor="text1"/>
                <w:sz w:val="22"/>
              </w:rPr>
              <w:t>Sequences and procedures of the information request and provision shall be specified by Petrolimex Charter</w:t>
            </w:r>
            <w:r w:rsidRPr="00E57E03">
              <w:rPr>
                <w:rFonts w:cs="Times New Roman"/>
                <w:color w:val="000000" w:themeColor="text1"/>
                <w:sz w:val="22"/>
              </w:rPr>
              <w:t>” are regulation of Regulation Form and the 2020 Law on Enterprises, Article 159, Clause 2. However, this content is not covered by the 2025 Charter and Charter Form at Appendix I of the Circular No. 116/2020/TT-BTC (hereinafter referred to as Charter Form). Therefore, it is recommended to amend this content by assigning to the Board of Management.</w:t>
            </w:r>
          </w:p>
        </w:tc>
      </w:tr>
      <w:tr w:rsidR="00430058" w:rsidRPr="00E57E03" w14:paraId="53AEE507" w14:textId="77777777" w:rsidTr="0024588C">
        <w:trPr>
          <w:trHeight w:val="20"/>
        </w:trPr>
        <w:tc>
          <w:tcPr>
            <w:tcW w:w="261" w:type="pct"/>
          </w:tcPr>
          <w:p w14:paraId="69F532BD" w14:textId="77777777" w:rsidR="00430058" w:rsidRPr="00E57E03" w:rsidRDefault="00430058"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EA877FD" w14:textId="7A457953" w:rsidR="00430058" w:rsidRPr="00E57E03" w:rsidRDefault="00430058" w:rsidP="00B7620F">
            <w:pPr>
              <w:widowControl w:val="0"/>
              <w:adjustRightInd w:val="0"/>
              <w:snapToGrid w:val="0"/>
              <w:spacing w:before="60" w:after="60"/>
              <w:jc w:val="both"/>
              <w:rPr>
                <w:rFonts w:cs="Times New Roman"/>
                <w:sz w:val="22"/>
              </w:rPr>
            </w:pPr>
            <w:r w:rsidRPr="004E539E">
              <w:rPr>
                <w:rFonts w:cs="Times New Roman"/>
                <w:sz w:val="22"/>
              </w:rPr>
              <w:t>Article 6 Clause 2</w:t>
            </w:r>
          </w:p>
        </w:tc>
        <w:tc>
          <w:tcPr>
            <w:tcW w:w="1416" w:type="pct"/>
          </w:tcPr>
          <w:p w14:paraId="2010245E" w14:textId="220A1D96" w:rsidR="00430058" w:rsidRPr="00E57E03" w:rsidRDefault="00960CAB"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Term of office of the Board of Management is 5 years. The term of the members of the Board of Management shall be five (5) years and members of the Board of Management may be re-elected for unlimited number of terms. Each individual is only elected as 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w:t>
            </w:r>
          </w:p>
        </w:tc>
        <w:tc>
          <w:tcPr>
            <w:tcW w:w="1434" w:type="pct"/>
          </w:tcPr>
          <w:p w14:paraId="264FDC94" w14:textId="056D55A8" w:rsidR="00430058" w:rsidRPr="00E57E03" w:rsidRDefault="00AD55CB" w:rsidP="00E6623F">
            <w:pPr>
              <w:widowControl w:val="0"/>
              <w:adjustRightInd w:val="0"/>
              <w:snapToGrid w:val="0"/>
              <w:spacing w:before="60" w:after="60"/>
              <w:jc w:val="both"/>
              <w:rPr>
                <w:rFonts w:cs="Times New Roman"/>
                <w:bCs/>
                <w:color w:val="000000" w:themeColor="text1"/>
                <w:sz w:val="22"/>
                <w:u w:val="single"/>
              </w:rPr>
            </w:pPr>
            <w:r w:rsidRPr="00E57E03">
              <w:rPr>
                <w:rFonts w:cs="Times New Roman"/>
                <w:strike/>
                <w:color w:val="000000" w:themeColor="text1"/>
                <w:sz w:val="22"/>
              </w:rPr>
              <w:t>Term of office of the Board of Management is 5 years.</w:t>
            </w:r>
            <w:r w:rsidRPr="00E57E03">
              <w:rPr>
                <w:rFonts w:cs="Times New Roman"/>
                <w:color w:val="000000" w:themeColor="text1"/>
                <w:sz w:val="22"/>
              </w:rPr>
              <w:t xml:space="preserve"> The term of the members of the Board of Management shall be five (5) years and members of the Board of Management may be re-elected for unlimited number of terms. Each individual is only elected as 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 </w:t>
            </w:r>
            <w:r w:rsidRPr="00E57E03">
              <w:rPr>
                <w:rFonts w:cs="Times New Roman"/>
                <w:color w:val="000000" w:themeColor="text1"/>
                <w:sz w:val="22"/>
                <w:u w:val="single"/>
              </w:rPr>
              <w:t xml:space="preserve">unless otherwise specified by the Petrolimex Charter or </w:t>
            </w:r>
            <w:r w:rsidRPr="00E57E03">
              <w:rPr>
                <w:rFonts w:cs="Times New Roman"/>
                <w:color w:val="000000" w:themeColor="text1"/>
                <w:sz w:val="22"/>
                <w:u w:val="single"/>
              </w:rPr>
              <w:lastRenderedPageBreak/>
              <w:t>the applicable laws</w:t>
            </w:r>
            <w:r w:rsidRPr="00E57E03">
              <w:rPr>
                <w:rFonts w:cs="Times New Roman"/>
                <w:color w:val="000000" w:themeColor="text1"/>
                <w:sz w:val="22"/>
              </w:rPr>
              <w:t>.</w:t>
            </w:r>
          </w:p>
        </w:tc>
        <w:tc>
          <w:tcPr>
            <w:tcW w:w="1272" w:type="pct"/>
          </w:tcPr>
          <w:p w14:paraId="09B8C49B" w14:textId="58F495F0" w:rsidR="004C7364" w:rsidRPr="00E57E03" w:rsidRDefault="00256DBA"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Remove the contents “Term of office of the Board of Management is 5 years” as it is not specified by the 2026 Draft Charter and the Charter Form. </w:t>
            </w:r>
          </w:p>
          <w:p w14:paraId="60CDD69B" w14:textId="7A11829C" w:rsidR="00430058" w:rsidRPr="00E57E03" w:rsidRDefault="00162BCA"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Also, add the </w:t>
            </w:r>
            <w:r w:rsidRPr="00E57E03">
              <w:rPr>
                <w:rFonts w:cs="Times New Roman"/>
                <w:color w:val="000000" w:themeColor="text1"/>
                <w:sz w:val="22"/>
                <w:u w:val="single"/>
              </w:rPr>
              <w:t>underlined</w:t>
            </w:r>
            <w:r w:rsidRPr="00E57E03">
              <w:rPr>
                <w:rFonts w:cs="Times New Roman"/>
                <w:color w:val="000000" w:themeColor="text1"/>
                <w:sz w:val="22"/>
              </w:rPr>
              <w:t xml:space="preserve"> contents to ensure flexibility in compliance with the Draft Charter and regulations governed by the applicable laws.</w:t>
            </w:r>
          </w:p>
        </w:tc>
      </w:tr>
      <w:tr w:rsidR="00625860" w:rsidRPr="00E57E03" w14:paraId="0D7D8618" w14:textId="77777777" w:rsidTr="0024588C">
        <w:trPr>
          <w:trHeight w:val="20"/>
        </w:trPr>
        <w:tc>
          <w:tcPr>
            <w:tcW w:w="261" w:type="pct"/>
          </w:tcPr>
          <w:p w14:paraId="3A957A9A" w14:textId="77777777" w:rsidR="00625860" w:rsidRPr="00E57E03" w:rsidRDefault="00625860"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38D43E9" w14:textId="18C0E0C8" w:rsidR="00625860" w:rsidRPr="00E57E03" w:rsidRDefault="00625860" w:rsidP="00B7620F">
            <w:pPr>
              <w:widowControl w:val="0"/>
              <w:adjustRightInd w:val="0"/>
              <w:snapToGrid w:val="0"/>
              <w:spacing w:before="60" w:after="60"/>
              <w:jc w:val="both"/>
              <w:rPr>
                <w:rFonts w:cs="Times New Roman"/>
                <w:sz w:val="22"/>
              </w:rPr>
            </w:pPr>
            <w:r w:rsidRPr="004E539E">
              <w:rPr>
                <w:rFonts w:cs="Times New Roman"/>
                <w:sz w:val="22"/>
              </w:rPr>
              <w:t>Article 6, Clause 3, point a</w:t>
            </w:r>
          </w:p>
        </w:tc>
        <w:tc>
          <w:tcPr>
            <w:tcW w:w="1416" w:type="pct"/>
          </w:tcPr>
          <w:p w14:paraId="236A3776" w14:textId="77777777" w:rsidR="007534B8" w:rsidRPr="00E57E03" w:rsidRDefault="007534B8" w:rsidP="007534B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6. Term and number of BOM members</w:t>
            </w:r>
          </w:p>
          <w:p w14:paraId="4EBA9135" w14:textId="77777777" w:rsidR="00625860" w:rsidRPr="00E57E03" w:rsidRDefault="002B0609"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3. The structure of the member of the Board is described as follows:</w:t>
            </w:r>
          </w:p>
          <w:p w14:paraId="2D72EC94" w14:textId="2568EFA7" w:rsidR="002B0609" w:rsidRPr="00E57E03" w:rsidRDefault="006540FB"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 The structure of the Board of Management must ensure at least 1/3 total members of the BOM.</w:t>
            </w:r>
          </w:p>
        </w:tc>
        <w:tc>
          <w:tcPr>
            <w:tcW w:w="1434" w:type="pct"/>
          </w:tcPr>
          <w:p w14:paraId="2CEAC6AE" w14:textId="4E7BC2DB" w:rsidR="00B56023" w:rsidRPr="00E57E03" w:rsidRDefault="006540FB" w:rsidP="00AF4808">
            <w:pPr>
              <w:widowControl w:val="0"/>
              <w:adjustRightInd w:val="0"/>
              <w:snapToGrid w:val="0"/>
              <w:spacing w:before="60" w:after="60"/>
              <w:jc w:val="both"/>
              <w:rPr>
                <w:rFonts w:cs="Times New Roman"/>
                <w:color w:val="000000" w:themeColor="text1"/>
                <w:sz w:val="22"/>
                <w:u w:val="single"/>
              </w:rPr>
            </w:pPr>
            <w:r w:rsidRPr="00E57E03">
              <w:rPr>
                <w:rFonts w:cs="Times New Roman"/>
                <w:color w:val="000000" w:themeColor="text1"/>
                <w:sz w:val="22"/>
              </w:rPr>
              <w:t xml:space="preserve">a) </w:t>
            </w:r>
            <w:r w:rsidR="00AF4808" w:rsidRPr="00E57E03">
              <w:rPr>
                <w:rFonts w:cs="Times New Roman"/>
                <w:color w:val="000000" w:themeColor="text1"/>
                <w:sz w:val="22"/>
              </w:rPr>
              <w:t xml:space="preserve">The Board structure must ensure a minimum </w:t>
            </w:r>
            <w:r w:rsidRPr="00E57E03">
              <w:rPr>
                <w:rFonts w:cs="Times New Roman"/>
                <w:color w:val="000000" w:themeColor="text1"/>
                <w:sz w:val="22"/>
              </w:rPr>
              <w:t xml:space="preserve">number of non-executive members of Board of Management </w:t>
            </w:r>
            <w:r w:rsidRPr="00E57E03">
              <w:rPr>
                <w:rFonts w:cs="Times New Roman"/>
                <w:color w:val="000000" w:themeColor="text1"/>
                <w:sz w:val="22"/>
                <w:u w:val="single"/>
              </w:rPr>
              <w:t>as prescribed in the Decree No. 245/2025/N</w:t>
            </w:r>
            <w:r w:rsidR="006F6ADF" w:rsidRPr="00E57E03">
              <w:rPr>
                <w:rFonts w:cs="Times New Roman"/>
                <w:color w:val="000000" w:themeColor="text1"/>
                <w:sz w:val="22"/>
                <w:u w:val="single"/>
              </w:rPr>
              <w:t>D</w:t>
            </w:r>
            <w:r w:rsidRPr="00E57E03">
              <w:rPr>
                <w:rFonts w:cs="Times New Roman"/>
                <w:color w:val="000000" w:themeColor="text1"/>
                <w:sz w:val="22"/>
                <w:u w:val="single"/>
              </w:rPr>
              <w:t>-CP.</w:t>
            </w:r>
          </w:p>
        </w:tc>
        <w:tc>
          <w:tcPr>
            <w:tcW w:w="1272" w:type="pct"/>
          </w:tcPr>
          <w:p w14:paraId="45D4BDAE" w14:textId="57C8260E" w:rsidR="00625860" w:rsidRPr="00E57E03" w:rsidRDefault="001B2118"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Amend the </w:t>
            </w:r>
            <w:r w:rsidRPr="00E57E03">
              <w:rPr>
                <w:rFonts w:cs="Times New Roman"/>
                <w:color w:val="000000" w:themeColor="text1"/>
                <w:sz w:val="22"/>
                <w:u w:val="single"/>
              </w:rPr>
              <w:t>underlined</w:t>
            </w:r>
            <w:r w:rsidRPr="00E57E03">
              <w:rPr>
                <w:rFonts w:cs="Times New Roman"/>
                <w:color w:val="000000" w:themeColor="text1"/>
                <w:sz w:val="22"/>
              </w:rPr>
              <w:t xml:space="preserve"> paragraph to ensure compliance with the Decree No. 245/2025/ND-CP, Article 1, Clause 79; Article 26, Clause 3, point a of the 2026 Draft Charter.</w:t>
            </w:r>
          </w:p>
        </w:tc>
      </w:tr>
      <w:tr w:rsidR="00D6389E" w:rsidRPr="00E57E03" w14:paraId="4BC1CDE4" w14:textId="77777777" w:rsidTr="0024588C">
        <w:trPr>
          <w:trHeight w:val="20"/>
        </w:trPr>
        <w:tc>
          <w:tcPr>
            <w:tcW w:w="261" w:type="pct"/>
          </w:tcPr>
          <w:p w14:paraId="7D378B90" w14:textId="77777777" w:rsidR="00D6389E" w:rsidRPr="00E57E03" w:rsidRDefault="00D6389E"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56F20B6C" w14:textId="44C7EB39" w:rsidR="00D6389E" w:rsidRPr="00E57E03" w:rsidRDefault="00D6389E" w:rsidP="00B7620F">
            <w:pPr>
              <w:widowControl w:val="0"/>
              <w:adjustRightInd w:val="0"/>
              <w:snapToGrid w:val="0"/>
              <w:spacing w:before="60" w:after="60"/>
              <w:jc w:val="both"/>
              <w:rPr>
                <w:rFonts w:cs="Times New Roman"/>
                <w:sz w:val="22"/>
              </w:rPr>
            </w:pPr>
            <w:r w:rsidRPr="00E57E03">
              <w:rPr>
                <w:rFonts w:cs="Times New Roman"/>
                <w:sz w:val="22"/>
              </w:rPr>
              <w:t>Article 6, Clauses 4, 5, 6 &amp; 7</w:t>
            </w:r>
          </w:p>
        </w:tc>
        <w:tc>
          <w:tcPr>
            <w:tcW w:w="1416" w:type="pct"/>
          </w:tcPr>
          <w:p w14:paraId="15B39F03" w14:textId="77777777" w:rsidR="001A1C79" w:rsidRPr="00E57E03" w:rsidRDefault="001A1C79" w:rsidP="001A1C79">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6. Term and number of BOM members</w:t>
            </w:r>
          </w:p>
          <w:p w14:paraId="6BA7A3EE" w14:textId="7CEF2791"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4. Any member of the Board of Management shall be </w:t>
            </w:r>
            <w:r w:rsidR="00AF4808" w:rsidRPr="00E57E03">
              <w:rPr>
                <w:rFonts w:cs="Times New Roman"/>
                <w:color w:val="000000" w:themeColor="text1"/>
                <w:sz w:val="22"/>
              </w:rPr>
              <w:t>removed</w:t>
            </w:r>
            <w:r w:rsidRPr="00E57E03">
              <w:rPr>
                <w:rFonts w:cs="Times New Roman"/>
                <w:color w:val="000000" w:themeColor="text1"/>
                <w:sz w:val="22"/>
              </w:rPr>
              <w:t xml:space="preserve"> from being the member of the Board of Management in the following cases:</w:t>
            </w:r>
          </w:p>
          <w:p w14:paraId="1948CF75"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 Not be eligible for criteria and conditions as prescribed in Article 155 of the Law on Enterprises;</w:t>
            </w:r>
          </w:p>
          <w:p w14:paraId="194B87DC"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b) Submit the letter of resignation and obtain the approval for resignation;</w:t>
            </w:r>
          </w:p>
          <w:p w14:paraId="01A7B9EC"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c) Provide incorrect personal information to Petrolimex as candidate to member of the Board of Management;</w:t>
            </w:r>
          </w:p>
          <w:p w14:paraId="1A9452A7"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d) Change the representative as recommended by the shareholders or group of shareholders.</w:t>
            </w:r>
          </w:p>
          <w:p w14:paraId="473381D2"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dd) Other cases as prescribed by the laws and the resolutions of the General Meeting of Shareholders.</w:t>
            </w:r>
          </w:p>
          <w:p w14:paraId="1E0840A0" w14:textId="7DCDE7F9"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5. Any </w:t>
            </w:r>
            <w:r w:rsidR="00F546FE" w:rsidRPr="00E57E03">
              <w:rPr>
                <w:rFonts w:cs="Times New Roman"/>
                <w:color w:val="000000" w:themeColor="text1"/>
                <w:sz w:val="22"/>
              </w:rPr>
              <w:t>member of the Board of Management shall be removed</w:t>
            </w:r>
            <w:r w:rsidRPr="00E57E03">
              <w:rPr>
                <w:rFonts w:cs="Times New Roman"/>
                <w:color w:val="000000" w:themeColor="text1"/>
                <w:sz w:val="22"/>
              </w:rPr>
              <w:t xml:space="preserve"> from being the member of the Board of Management in the following cases:</w:t>
            </w:r>
          </w:p>
          <w:p w14:paraId="3DA40880" w14:textId="16CA9C6C"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lastRenderedPageBreak/>
              <w:t xml:space="preserve">a) Not involve in the activities launched by BOM within 06 consecutive months, except for the </w:t>
            </w:r>
            <w:r w:rsidR="00F546FE" w:rsidRPr="00E57E03">
              <w:rPr>
                <w:rFonts w:cs="Times New Roman"/>
                <w:color w:val="000000" w:themeColor="text1"/>
                <w:sz w:val="22"/>
              </w:rPr>
              <w:t>f</w:t>
            </w:r>
            <w:r w:rsidRPr="00E57E03">
              <w:rPr>
                <w:rFonts w:cs="Times New Roman"/>
                <w:color w:val="000000" w:themeColor="text1"/>
                <w:sz w:val="22"/>
              </w:rPr>
              <w:t xml:space="preserve">orce </w:t>
            </w:r>
            <w:r w:rsidR="00F546FE" w:rsidRPr="00E57E03">
              <w:rPr>
                <w:rFonts w:cs="Times New Roman"/>
                <w:color w:val="000000" w:themeColor="text1"/>
                <w:sz w:val="22"/>
              </w:rPr>
              <w:t>m</w:t>
            </w:r>
            <w:r w:rsidRPr="00E57E03">
              <w:rPr>
                <w:rFonts w:cs="Times New Roman"/>
                <w:color w:val="000000" w:themeColor="text1"/>
                <w:sz w:val="22"/>
              </w:rPr>
              <w:t>ajeure events;</w:t>
            </w:r>
          </w:p>
          <w:p w14:paraId="58E6F030"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b) Fail to fulfill the assigned tasks and duties;</w:t>
            </w:r>
          </w:p>
          <w:p w14:paraId="2E994B8A"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c) Other cases as prescribed by the laws and this Charter.</w:t>
            </w:r>
          </w:p>
          <w:p w14:paraId="49F3A867"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6. As necessary, the General Meeting of Shareholders may decide to replace the BOM member; remove and dismiss the BOM members except for the cases specified in clauses 4 &amp; 5 of this Article.</w:t>
            </w:r>
          </w:p>
          <w:p w14:paraId="239044E5"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7. The General Meeting of Shareholders shall be convened by the Board of Management to elect the additional BOM members in following circumstances:</w:t>
            </w:r>
          </w:p>
          <w:p w14:paraId="70AFD7FC" w14:textId="77777777" w:rsidR="005F3A8F" w:rsidRPr="00E57E03" w:rsidRDefault="005F3A8F" w:rsidP="005F3A8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 Number of BOM members is reduced over one third against those prescribed herein. In this case, the Board of Management must convene the General Meeting of Shareholders within 60 working days since the date of reducing more than 1/3 of BOM members;</w:t>
            </w:r>
          </w:p>
          <w:p w14:paraId="1EAD0EAB" w14:textId="1B5EE487" w:rsidR="00D6389E" w:rsidRPr="00E57E03" w:rsidRDefault="005F3A8F" w:rsidP="007534B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b) Except for the cases specified in point a of this clause, in the nearest meeting, the new members shall be elected to replace the removed or dismissed BOM member by the General Meeting of Shareholders.</w:t>
            </w:r>
          </w:p>
        </w:tc>
        <w:tc>
          <w:tcPr>
            <w:tcW w:w="1434" w:type="pct"/>
          </w:tcPr>
          <w:p w14:paraId="70188731" w14:textId="27676462" w:rsidR="00D6389E" w:rsidRPr="00E57E03" w:rsidRDefault="005F3A8F" w:rsidP="006540FB">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Remove this content.</w:t>
            </w:r>
          </w:p>
        </w:tc>
        <w:tc>
          <w:tcPr>
            <w:tcW w:w="1272" w:type="pct"/>
          </w:tcPr>
          <w:p w14:paraId="7807512B" w14:textId="1823B3B8" w:rsidR="00D6389E" w:rsidRPr="00E57E03" w:rsidRDefault="005F3A8F"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This content is identical with Article 9 of the Regulation 219. Retaining the provisions under Article 9 of Regulation 219 is more appropriate, as this Article governs the same group of related matters (Removal, dismissal, substitution and supplement of members of the Board of Management).</w:t>
            </w:r>
          </w:p>
        </w:tc>
      </w:tr>
      <w:tr w:rsidR="00E430EC" w:rsidRPr="00E57E03" w14:paraId="14489A4D" w14:textId="77777777" w:rsidTr="0024588C">
        <w:trPr>
          <w:trHeight w:val="20"/>
        </w:trPr>
        <w:tc>
          <w:tcPr>
            <w:tcW w:w="261" w:type="pct"/>
          </w:tcPr>
          <w:p w14:paraId="33BC8B89" w14:textId="77777777" w:rsidR="00E430EC" w:rsidRPr="00E57E03" w:rsidRDefault="00E430EC" w:rsidP="00E430EC">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6341D06C" w14:textId="013C8D37" w:rsidR="00E430EC" w:rsidRPr="00E57E03" w:rsidRDefault="00E430EC" w:rsidP="00E430EC">
            <w:pPr>
              <w:widowControl w:val="0"/>
              <w:adjustRightInd w:val="0"/>
              <w:snapToGrid w:val="0"/>
              <w:spacing w:before="60" w:after="60"/>
              <w:jc w:val="both"/>
              <w:rPr>
                <w:rFonts w:cs="Times New Roman"/>
                <w:sz w:val="22"/>
              </w:rPr>
            </w:pPr>
            <w:r w:rsidRPr="004E539E">
              <w:rPr>
                <w:rFonts w:cs="Times New Roman"/>
                <w:color w:val="000000" w:themeColor="text1"/>
                <w:sz w:val="22"/>
              </w:rPr>
              <w:t>Article 6, Clause 8</w:t>
            </w:r>
          </w:p>
        </w:tc>
        <w:tc>
          <w:tcPr>
            <w:tcW w:w="1416" w:type="pct"/>
          </w:tcPr>
          <w:p w14:paraId="6EE5AE47" w14:textId="0B022AFC" w:rsidR="00E430EC" w:rsidRPr="00E57E03" w:rsidRDefault="00E430EC" w:rsidP="00E430E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8. Within 24 hours since the General Meeting of Shareholders agrees to approve the results of electing, removing or discharging members of the Board of </w:t>
            </w:r>
            <w:r w:rsidRPr="00E57E03">
              <w:rPr>
                <w:rFonts w:cs="Times New Roman"/>
                <w:color w:val="000000" w:themeColor="text1"/>
                <w:sz w:val="22"/>
              </w:rPr>
              <w:lastRenderedPageBreak/>
              <w:t>Management, Petrolimex is obligated to provide disclosures under the legal regulations on disclosure in the Stock Market.</w:t>
            </w:r>
          </w:p>
        </w:tc>
        <w:tc>
          <w:tcPr>
            <w:tcW w:w="1434" w:type="pct"/>
          </w:tcPr>
          <w:p w14:paraId="7C5BBAF9" w14:textId="77777777" w:rsidR="00E430EC" w:rsidRPr="00E57E03" w:rsidRDefault="00E430EC" w:rsidP="00E430EC">
            <w:pPr>
              <w:widowControl w:val="0"/>
              <w:adjustRightInd w:val="0"/>
              <w:snapToGrid w:val="0"/>
              <w:spacing w:before="60" w:after="60"/>
              <w:jc w:val="both"/>
              <w:rPr>
                <w:rFonts w:cs="Times New Roman"/>
                <w:color w:val="000000" w:themeColor="text1"/>
                <w:sz w:val="22"/>
              </w:rPr>
            </w:pPr>
          </w:p>
        </w:tc>
        <w:tc>
          <w:tcPr>
            <w:tcW w:w="1272" w:type="pct"/>
          </w:tcPr>
          <w:p w14:paraId="6620D2EC" w14:textId="5E44E68B" w:rsidR="00E430EC" w:rsidRPr="00E57E03" w:rsidRDefault="00E430EC" w:rsidP="00E430E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This Regulation is relocated to Article 11 of the Draft Regulation for notice on election, removal or discharge of members of the Board </w:t>
            </w:r>
            <w:r w:rsidRPr="00E57E03">
              <w:rPr>
                <w:rFonts w:cs="Times New Roman"/>
                <w:color w:val="000000" w:themeColor="text1"/>
                <w:sz w:val="22"/>
              </w:rPr>
              <w:lastRenderedPageBreak/>
              <w:t>of Management. For details, see Article 11 herein.</w:t>
            </w:r>
          </w:p>
        </w:tc>
      </w:tr>
      <w:tr w:rsidR="00F44174" w:rsidRPr="00E57E03" w14:paraId="5A568C6E" w14:textId="77777777" w:rsidTr="0024588C">
        <w:trPr>
          <w:trHeight w:val="20"/>
        </w:trPr>
        <w:tc>
          <w:tcPr>
            <w:tcW w:w="261" w:type="pct"/>
          </w:tcPr>
          <w:p w14:paraId="79CE56EF" w14:textId="77777777" w:rsidR="00F44174" w:rsidRPr="00E57E03" w:rsidRDefault="00F44174"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BEA1312" w14:textId="13F53376" w:rsidR="00F44174" w:rsidRPr="00E57E03" w:rsidRDefault="00F44174" w:rsidP="00B7620F">
            <w:pPr>
              <w:widowControl w:val="0"/>
              <w:adjustRightInd w:val="0"/>
              <w:snapToGrid w:val="0"/>
              <w:spacing w:before="60" w:after="60"/>
              <w:jc w:val="both"/>
              <w:rPr>
                <w:rFonts w:cs="Times New Roman"/>
                <w:sz w:val="22"/>
              </w:rPr>
            </w:pPr>
            <w:r w:rsidRPr="004E539E">
              <w:rPr>
                <w:rFonts w:cs="Times New Roman"/>
                <w:sz w:val="22"/>
              </w:rPr>
              <w:t>Article 6, Clause 9</w:t>
            </w:r>
          </w:p>
        </w:tc>
        <w:tc>
          <w:tcPr>
            <w:tcW w:w="1416" w:type="pct"/>
          </w:tcPr>
          <w:p w14:paraId="5DEA8A4E" w14:textId="0793DE59" w:rsidR="00F44174" w:rsidRPr="00E57E03" w:rsidRDefault="0099253E"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Members of the Board of Management are not necessarily Petrolimex shareholders.</w:t>
            </w:r>
          </w:p>
        </w:tc>
        <w:tc>
          <w:tcPr>
            <w:tcW w:w="1434" w:type="pct"/>
          </w:tcPr>
          <w:p w14:paraId="09C8BA6A" w14:textId="059536E7" w:rsidR="00F44174" w:rsidRPr="00E57E03" w:rsidRDefault="00101E4A" w:rsidP="00A0342E">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Remove Article 6, Clause 9</w:t>
            </w:r>
          </w:p>
        </w:tc>
        <w:tc>
          <w:tcPr>
            <w:tcW w:w="1272" w:type="pct"/>
          </w:tcPr>
          <w:p w14:paraId="74A43372" w14:textId="3515A1CA" w:rsidR="00F44174" w:rsidRPr="00E57E03" w:rsidRDefault="00101E4A"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This content is identical with Article 7, clause 1, point b of the Regulation 219.</w:t>
            </w:r>
          </w:p>
        </w:tc>
      </w:tr>
      <w:tr w:rsidR="00B52B6C" w:rsidRPr="00E57E03" w14:paraId="1E55B816" w14:textId="77777777" w:rsidTr="0024588C">
        <w:trPr>
          <w:trHeight w:val="20"/>
        </w:trPr>
        <w:tc>
          <w:tcPr>
            <w:tcW w:w="261" w:type="pct"/>
          </w:tcPr>
          <w:p w14:paraId="1097C5E4" w14:textId="77777777" w:rsidR="00B52B6C" w:rsidRPr="00E57E03" w:rsidRDefault="00B52B6C"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298F6F3B" w14:textId="5D456900" w:rsidR="00B52B6C" w:rsidRPr="00E57E03" w:rsidRDefault="00B52B6C" w:rsidP="00B7620F">
            <w:pPr>
              <w:widowControl w:val="0"/>
              <w:adjustRightInd w:val="0"/>
              <w:snapToGrid w:val="0"/>
              <w:spacing w:before="60" w:after="60"/>
              <w:jc w:val="both"/>
              <w:rPr>
                <w:rFonts w:cs="Times New Roman"/>
                <w:sz w:val="22"/>
              </w:rPr>
            </w:pPr>
            <w:r w:rsidRPr="00E57E03">
              <w:rPr>
                <w:rFonts w:cs="Times New Roman"/>
                <w:sz w:val="22"/>
              </w:rPr>
              <w:t>Article 7, Clause 1, point c</w:t>
            </w:r>
          </w:p>
        </w:tc>
        <w:tc>
          <w:tcPr>
            <w:tcW w:w="1416" w:type="pct"/>
          </w:tcPr>
          <w:p w14:paraId="7EAAF522" w14:textId="75DF906E" w:rsidR="00B52B6C" w:rsidRPr="00E57E03" w:rsidRDefault="00073E12" w:rsidP="00073E12">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A member of the BOM of Petrolimex may concurrently serve as </w:t>
            </w:r>
            <w:r w:rsidRPr="004E539E">
              <w:rPr>
                <w:rFonts w:cs="Times New Roman"/>
                <w:color w:val="000000" w:themeColor="text1"/>
                <w:sz w:val="22"/>
                <w:u w:val="single"/>
              </w:rPr>
              <w:t>m</w:t>
            </w:r>
            <w:r w:rsidRPr="00E57E03">
              <w:rPr>
                <w:rFonts w:cs="Times New Roman"/>
                <w:color w:val="000000" w:themeColor="text1"/>
                <w:sz w:val="22"/>
                <w:u w:val="single"/>
              </w:rPr>
              <w:t xml:space="preserve">ember  of </w:t>
            </w:r>
            <w:r w:rsidR="00475784" w:rsidRPr="00E57E03">
              <w:rPr>
                <w:rFonts w:cs="Times New Roman"/>
                <w:color w:val="000000" w:themeColor="text1"/>
                <w:sz w:val="22"/>
              </w:rPr>
              <w:t>other companies;</w:t>
            </w:r>
          </w:p>
        </w:tc>
        <w:tc>
          <w:tcPr>
            <w:tcW w:w="1434" w:type="pct"/>
          </w:tcPr>
          <w:p w14:paraId="7F8B1D39" w14:textId="64510E8C" w:rsidR="00B52B6C" w:rsidRPr="00E57E03" w:rsidRDefault="002E4212" w:rsidP="002E4212">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A member of the BOM of Petrolimex may concurrently serve as </w:t>
            </w:r>
            <w:r w:rsidRPr="00E57E03">
              <w:rPr>
                <w:rFonts w:cs="Times New Roman"/>
                <w:color w:val="000000" w:themeColor="text1"/>
                <w:sz w:val="22"/>
                <w:u w:val="single"/>
              </w:rPr>
              <w:t>m</w:t>
            </w:r>
            <w:r w:rsidR="005F18C9" w:rsidRPr="00E57E03">
              <w:rPr>
                <w:rFonts w:cs="Times New Roman"/>
                <w:color w:val="000000" w:themeColor="text1"/>
                <w:sz w:val="22"/>
                <w:u w:val="single"/>
              </w:rPr>
              <w:t xml:space="preserve">ember </w:t>
            </w:r>
            <w:r w:rsidRPr="00E57E03">
              <w:rPr>
                <w:rFonts w:cs="Times New Roman"/>
                <w:color w:val="000000" w:themeColor="text1"/>
                <w:sz w:val="22"/>
                <w:u w:val="single"/>
              </w:rPr>
              <w:t xml:space="preserve"> of the Member </w:t>
            </w:r>
            <w:r w:rsidR="005F18C9" w:rsidRPr="00E57E03">
              <w:rPr>
                <w:rFonts w:cs="Times New Roman"/>
                <w:color w:val="000000" w:themeColor="text1"/>
                <w:sz w:val="22"/>
                <w:u w:val="single"/>
              </w:rPr>
              <w:t>Council</w:t>
            </w:r>
            <w:r w:rsidRPr="00E57E03">
              <w:rPr>
                <w:rFonts w:cs="Times New Roman"/>
                <w:color w:val="000000" w:themeColor="text1"/>
                <w:sz w:val="22"/>
              </w:rPr>
              <w:t xml:space="preserve"> </w:t>
            </w:r>
            <w:r w:rsidR="005F18C9" w:rsidRPr="00E57E03">
              <w:rPr>
                <w:rFonts w:cs="Times New Roman"/>
                <w:color w:val="000000" w:themeColor="text1"/>
                <w:sz w:val="22"/>
              </w:rPr>
              <w:t xml:space="preserve">of other companies </w:t>
            </w:r>
            <w:r w:rsidR="005F18C9" w:rsidRPr="00E57E03">
              <w:rPr>
                <w:rFonts w:cs="Times New Roman"/>
                <w:color w:val="000000" w:themeColor="text1"/>
                <w:sz w:val="22"/>
                <w:u w:val="single"/>
              </w:rPr>
              <w:t>as prescribed by the laws;</w:t>
            </w:r>
          </w:p>
        </w:tc>
        <w:tc>
          <w:tcPr>
            <w:tcW w:w="1272" w:type="pct"/>
          </w:tcPr>
          <w:p w14:paraId="16ED07EC" w14:textId="43AE17B1" w:rsidR="00B52B6C" w:rsidRPr="00E57E03" w:rsidRDefault="005F18C9" w:rsidP="00BE1A6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Amend the </w:t>
            </w:r>
            <w:r w:rsidRPr="00E57E03">
              <w:rPr>
                <w:rFonts w:cs="Times New Roman"/>
                <w:color w:val="000000" w:themeColor="text1"/>
                <w:sz w:val="22"/>
                <w:u w:val="single"/>
              </w:rPr>
              <w:t>underlined</w:t>
            </w:r>
            <w:r w:rsidRPr="00E57E03">
              <w:rPr>
                <w:rFonts w:cs="Times New Roman"/>
                <w:color w:val="000000" w:themeColor="text1"/>
                <w:sz w:val="22"/>
              </w:rPr>
              <w:t xml:space="preserve"> paragraph to ensure compliance with the Decree No. 245/2025/ND-CP, Article 1, Clause 78; Article 25, Clause 5, point c of the 2026 Draft Charter.</w:t>
            </w:r>
          </w:p>
        </w:tc>
      </w:tr>
      <w:tr w:rsidR="00FA72FE" w:rsidRPr="00E57E03" w14:paraId="6DCE27C3" w14:textId="77777777" w:rsidTr="0024588C">
        <w:trPr>
          <w:trHeight w:val="20"/>
        </w:trPr>
        <w:tc>
          <w:tcPr>
            <w:tcW w:w="261" w:type="pct"/>
          </w:tcPr>
          <w:p w14:paraId="49BC9B3E" w14:textId="77777777" w:rsidR="00FA72FE" w:rsidRPr="00E57E03" w:rsidRDefault="00FA72FE" w:rsidP="00FA72FE">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639C69D8" w14:textId="7BDC783B" w:rsidR="00FA72FE" w:rsidRPr="00E57E03" w:rsidRDefault="00FA72FE" w:rsidP="00FA72FE">
            <w:pPr>
              <w:widowControl w:val="0"/>
              <w:adjustRightInd w:val="0"/>
              <w:snapToGrid w:val="0"/>
              <w:spacing w:before="60" w:after="60"/>
              <w:jc w:val="both"/>
              <w:rPr>
                <w:rFonts w:cs="Times New Roman"/>
                <w:sz w:val="22"/>
              </w:rPr>
            </w:pPr>
            <w:r w:rsidRPr="00E57E03">
              <w:rPr>
                <w:rFonts w:cs="Times New Roman"/>
                <w:color w:val="000000" w:themeColor="text1"/>
                <w:sz w:val="22"/>
              </w:rPr>
              <w:t>Article 7, Clause 2</w:t>
            </w:r>
          </w:p>
        </w:tc>
        <w:tc>
          <w:tcPr>
            <w:tcW w:w="1416" w:type="pct"/>
          </w:tcPr>
          <w:p w14:paraId="029578E3" w14:textId="53FD70FC" w:rsidR="00FA72FE" w:rsidRPr="00E57E03" w:rsidRDefault="00FA72FE" w:rsidP="00FA72FE">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2. Independent member of the Board of Management specified at point b, clause 1, Article 137 of the Law on Enterprises must be qualified with the following qualification and criteria:</w:t>
            </w:r>
          </w:p>
        </w:tc>
        <w:tc>
          <w:tcPr>
            <w:tcW w:w="1434" w:type="pct"/>
          </w:tcPr>
          <w:p w14:paraId="3B4B41C8" w14:textId="3CE44FA2" w:rsidR="00FA72FE" w:rsidRPr="00E57E03" w:rsidRDefault="00FA72FE" w:rsidP="00FA72FE">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2. Independent member of the Board of Management </w:t>
            </w:r>
            <w:r w:rsidRPr="00E57E03">
              <w:rPr>
                <w:rFonts w:cs="Times New Roman"/>
                <w:strike/>
                <w:color w:val="000000" w:themeColor="text1"/>
                <w:sz w:val="22"/>
              </w:rPr>
              <w:t>as prescribed in point b, clause 1, Article 137 of the Law on Enterprises</w:t>
            </w:r>
            <w:r w:rsidRPr="00E57E03">
              <w:rPr>
                <w:rFonts w:cs="Times New Roman"/>
                <w:color w:val="000000" w:themeColor="text1"/>
                <w:sz w:val="22"/>
              </w:rPr>
              <w:t xml:space="preserve"> must be qualified with the following criteria and conditions, concretely</w:t>
            </w:r>
          </w:p>
        </w:tc>
        <w:tc>
          <w:tcPr>
            <w:tcW w:w="1272" w:type="pct"/>
          </w:tcPr>
          <w:p w14:paraId="51275AAB" w14:textId="2CB25BEF" w:rsidR="00FA72FE" w:rsidRPr="00E57E03" w:rsidRDefault="00FA72FE" w:rsidP="00FA72FE">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Recommend to remove the references to the Law on Enterprises, Article 137, Clause 1, point b to comply with Article 25, clause 6 of the 2026 Draft Charter. Remember that Petrolimex operates in accordance with the organizational structure at the 2020 Law on Enterprises, Article 137, Clause 1, point a (with Supervisory Board).</w:t>
            </w:r>
          </w:p>
        </w:tc>
      </w:tr>
      <w:tr w:rsidR="001A586A" w:rsidRPr="00E57E03" w14:paraId="48CA1AFE" w14:textId="77777777" w:rsidTr="0024588C">
        <w:trPr>
          <w:trHeight w:val="20"/>
        </w:trPr>
        <w:tc>
          <w:tcPr>
            <w:tcW w:w="261" w:type="pct"/>
          </w:tcPr>
          <w:p w14:paraId="5F4335A6" w14:textId="77777777" w:rsidR="001A586A" w:rsidRPr="00E57E03" w:rsidRDefault="001A586A" w:rsidP="001A586A">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306E0689" w14:textId="0FA08296" w:rsidR="001A586A" w:rsidRPr="00E57E03" w:rsidRDefault="001A586A" w:rsidP="001A586A">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Article 9, Clause 1</w:t>
            </w:r>
          </w:p>
        </w:tc>
        <w:tc>
          <w:tcPr>
            <w:tcW w:w="1416" w:type="pct"/>
          </w:tcPr>
          <w:p w14:paraId="1BBE6666" w14:textId="77777777" w:rsidR="001A586A" w:rsidRPr="00E57E03" w:rsidRDefault="001A586A" w:rsidP="001A586A">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Article 9. Removal, dismissal, substitution and supplement of members of the Board of Management</w:t>
            </w:r>
          </w:p>
          <w:p w14:paraId="726B097B" w14:textId="14A7F2F2"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1. Any </w:t>
            </w:r>
            <w:r w:rsidR="00F546FE" w:rsidRPr="00E57E03">
              <w:rPr>
                <w:rFonts w:cs="Times New Roman"/>
                <w:color w:val="000000" w:themeColor="text1"/>
                <w:sz w:val="22"/>
              </w:rPr>
              <w:t>member of the Board of Management shall be removed</w:t>
            </w:r>
            <w:r w:rsidRPr="00E57E03">
              <w:rPr>
                <w:rFonts w:cs="Times New Roman"/>
                <w:color w:val="000000" w:themeColor="text1"/>
                <w:sz w:val="22"/>
              </w:rPr>
              <w:t xml:space="preserve"> from being the member of the Board of Management in the following cases:</w:t>
            </w:r>
          </w:p>
          <w:p w14:paraId="0F5796E4" w14:textId="77777777"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 Not be eligible for criteria and conditions as prescribed in Article 155 of the Law on Enterprises;</w:t>
            </w:r>
          </w:p>
          <w:p w14:paraId="2E446F30" w14:textId="77777777"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lastRenderedPageBreak/>
              <w:t>b) Submit the letter of resignation and obtain the approval for resignation;</w:t>
            </w:r>
          </w:p>
          <w:p w14:paraId="126A4D6C" w14:textId="77777777"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c) Other cases as prescribed by Petrolimex Charter.</w:t>
            </w:r>
          </w:p>
          <w:p w14:paraId="07FD7876" w14:textId="77777777" w:rsidR="001A586A" w:rsidRPr="00E57E03" w:rsidRDefault="001A586A" w:rsidP="001A586A">
            <w:pPr>
              <w:widowControl w:val="0"/>
              <w:adjustRightInd w:val="0"/>
              <w:snapToGrid w:val="0"/>
              <w:spacing w:before="60" w:after="60"/>
              <w:jc w:val="both"/>
              <w:rPr>
                <w:rFonts w:cs="Times New Roman"/>
                <w:bCs/>
                <w:color w:val="000000" w:themeColor="text1"/>
                <w:sz w:val="22"/>
              </w:rPr>
            </w:pPr>
          </w:p>
        </w:tc>
        <w:tc>
          <w:tcPr>
            <w:tcW w:w="1434" w:type="pct"/>
          </w:tcPr>
          <w:p w14:paraId="2108EC39" w14:textId="0A1FD87A"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4E539E">
              <w:rPr>
                <w:rFonts w:cs="Times New Roman"/>
                <w:color w:val="000000" w:themeColor="text1"/>
                <w:sz w:val="22"/>
              </w:rPr>
              <w:lastRenderedPageBreak/>
              <w:t xml:space="preserve">1. Any </w:t>
            </w:r>
            <w:r w:rsidR="00F546FE" w:rsidRPr="00E57E03">
              <w:rPr>
                <w:rFonts w:cs="Times New Roman"/>
                <w:color w:val="000000" w:themeColor="text1"/>
                <w:sz w:val="22"/>
              </w:rPr>
              <w:t>member of the Board of Management shall be removed</w:t>
            </w:r>
            <w:r w:rsidRPr="00E57E03">
              <w:rPr>
                <w:rFonts w:cs="Times New Roman"/>
                <w:color w:val="000000" w:themeColor="text1"/>
                <w:sz w:val="22"/>
              </w:rPr>
              <w:t xml:space="preserve"> from being the member of the Board of Management in the following cases:</w:t>
            </w:r>
          </w:p>
          <w:p w14:paraId="6E5B0D5D" w14:textId="77777777"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 Not be eligible for criteria and conditions as prescribed in Article 155 of the Law on Enterprises;</w:t>
            </w:r>
          </w:p>
          <w:p w14:paraId="361C8DA4" w14:textId="77777777"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b) Submit the letter of resignation and obtain the approval for resignation;</w:t>
            </w:r>
          </w:p>
          <w:p w14:paraId="007292F1" w14:textId="77777777" w:rsidR="001A586A" w:rsidRPr="00E57E03" w:rsidRDefault="001A586A" w:rsidP="001A586A">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u w:val="single"/>
              </w:rPr>
              <w:t xml:space="preserve">c) Provide incorrect personal information </w:t>
            </w:r>
            <w:r w:rsidRPr="00E57E03">
              <w:rPr>
                <w:rFonts w:cs="Times New Roman"/>
                <w:color w:val="000000" w:themeColor="text1"/>
                <w:sz w:val="22"/>
                <w:u w:val="single"/>
              </w:rPr>
              <w:lastRenderedPageBreak/>
              <w:t>to Petrolimex as candidate to member of the Board of Management;</w:t>
            </w:r>
          </w:p>
          <w:p w14:paraId="467BCA2B" w14:textId="3A9366F1" w:rsidR="001A586A" w:rsidRPr="00E57E03" w:rsidRDefault="001A586A" w:rsidP="001A586A">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u w:val="single"/>
              </w:rPr>
              <w:t>d) Change the representative as recommended by the shareholders or group of shareholders;</w:t>
            </w:r>
          </w:p>
          <w:p w14:paraId="2202ED4F" w14:textId="1607AA51" w:rsidR="001A586A" w:rsidRPr="00E57E03" w:rsidRDefault="001A586A" w:rsidP="001A586A">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u w:val="single"/>
              </w:rPr>
              <w:t>dd) Other cases as prescribed by the laws and the resolutions of the General Meeting of Shareholders.</w:t>
            </w:r>
          </w:p>
        </w:tc>
        <w:tc>
          <w:tcPr>
            <w:tcW w:w="1272" w:type="pct"/>
          </w:tcPr>
          <w:p w14:paraId="3F1DAA6F" w14:textId="22848626" w:rsidR="001A586A" w:rsidRPr="00E57E03" w:rsidRDefault="001A586A" w:rsidP="001A586A">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Amend to be well matched with Article 26, Clause 4 of the 2026 Draft Charter. The </w:t>
            </w:r>
            <w:r w:rsidRPr="00E57E03">
              <w:rPr>
                <w:rFonts w:cs="Times New Roman"/>
                <w:color w:val="000000" w:themeColor="text1"/>
                <w:sz w:val="22"/>
                <w:u w:val="single"/>
              </w:rPr>
              <w:t>underlined</w:t>
            </w:r>
            <w:r w:rsidRPr="00E57E03">
              <w:rPr>
                <w:rFonts w:cs="Times New Roman"/>
                <w:color w:val="000000" w:themeColor="text1"/>
                <w:sz w:val="22"/>
              </w:rPr>
              <w:t xml:space="preserve"> contents move from clause 4, Article 6 of this Regulation.</w:t>
            </w:r>
          </w:p>
          <w:p w14:paraId="70204953" w14:textId="77777777" w:rsidR="001A586A" w:rsidRPr="00E57E03" w:rsidRDefault="001A586A" w:rsidP="001A586A">
            <w:pPr>
              <w:widowControl w:val="0"/>
              <w:adjustRightInd w:val="0"/>
              <w:snapToGrid w:val="0"/>
              <w:spacing w:before="60" w:after="60"/>
              <w:jc w:val="both"/>
              <w:rPr>
                <w:rFonts w:cs="Times New Roman"/>
                <w:color w:val="000000" w:themeColor="text1"/>
                <w:sz w:val="22"/>
              </w:rPr>
            </w:pPr>
          </w:p>
          <w:p w14:paraId="21A9EFAA" w14:textId="77777777" w:rsidR="001A586A" w:rsidRPr="00E57E03" w:rsidRDefault="001A586A" w:rsidP="001A586A">
            <w:pPr>
              <w:widowControl w:val="0"/>
              <w:adjustRightInd w:val="0"/>
              <w:snapToGrid w:val="0"/>
              <w:spacing w:before="60" w:after="60"/>
              <w:jc w:val="both"/>
              <w:rPr>
                <w:rFonts w:cs="Times New Roman"/>
                <w:color w:val="000000" w:themeColor="text1"/>
                <w:sz w:val="22"/>
              </w:rPr>
            </w:pPr>
          </w:p>
          <w:p w14:paraId="6556AA24" w14:textId="77777777" w:rsidR="001A586A" w:rsidRPr="00E57E03" w:rsidRDefault="001A586A" w:rsidP="001A586A">
            <w:pPr>
              <w:widowControl w:val="0"/>
              <w:adjustRightInd w:val="0"/>
              <w:snapToGrid w:val="0"/>
              <w:spacing w:before="60" w:after="60"/>
              <w:jc w:val="both"/>
              <w:rPr>
                <w:rFonts w:cs="Times New Roman"/>
                <w:color w:val="000000" w:themeColor="text1"/>
                <w:sz w:val="22"/>
              </w:rPr>
            </w:pPr>
          </w:p>
        </w:tc>
      </w:tr>
      <w:tr w:rsidR="00636818" w:rsidRPr="00E57E03" w14:paraId="626B898B" w14:textId="77777777" w:rsidTr="0024588C">
        <w:trPr>
          <w:trHeight w:val="20"/>
        </w:trPr>
        <w:tc>
          <w:tcPr>
            <w:tcW w:w="261" w:type="pct"/>
          </w:tcPr>
          <w:p w14:paraId="38B22893" w14:textId="77777777" w:rsidR="00636818" w:rsidRPr="00E57E03" w:rsidRDefault="00636818" w:rsidP="0063681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25CB64D3" w14:textId="191100E0" w:rsidR="00636818" w:rsidRPr="00E57E03" w:rsidRDefault="00636818" w:rsidP="00636818">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 xml:space="preserve">Article 9, Clause </w:t>
            </w:r>
            <w:r w:rsidRPr="00E57E03">
              <w:rPr>
                <w:rFonts w:cs="Times New Roman"/>
                <w:color w:val="000000" w:themeColor="text1"/>
                <w:sz w:val="22"/>
              </w:rPr>
              <w:t>2, point b</w:t>
            </w:r>
          </w:p>
        </w:tc>
        <w:tc>
          <w:tcPr>
            <w:tcW w:w="1416" w:type="pct"/>
          </w:tcPr>
          <w:p w14:paraId="3C5B503E" w14:textId="02C07A65" w:rsidR="00636818" w:rsidRPr="00E57E03" w:rsidRDefault="00636818" w:rsidP="0063681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2. Any </w:t>
            </w:r>
            <w:r w:rsidR="00F546FE" w:rsidRPr="00E57E03">
              <w:rPr>
                <w:rFonts w:cs="Times New Roman"/>
                <w:color w:val="000000" w:themeColor="text1"/>
                <w:sz w:val="22"/>
              </w:rPr>
              <w:t>member of the Board of Management shall be removed</w:t>
            </w:r>
            <w:r w:rsidRPr="00E57E03">
              <w:rPr>
                <w:rFonts w:cs="Times New Roman"/>
                <w:color w:val="000000" w:themeColor="text1"/>
                <w:sz w:val="22"/>
              </w:rPr>
              <w:t xml:space="preserve"> from being the member of the Board of Management in the following cases:</w:t>
            </w:r>
          </w:p>
          <w:p w14:paraId="06E7A8D4" w14:textId="16221D36" w:rsidR="00636818" w:rsidRPr="00E57E03" w:rsidRDefault="00636818" w:rsidP="0063681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b) Other cases as prescribed by Petrolimex Charter.</w:t>
            </w:r>
          </w:p>
        </w:tc>
        <w:tc>
          <w:tcPr>
            <w:tcW w:w="1434" w:type="pct"/>
          </w:tcPr>
          <w:p w14:paraId="35C76D6B" w14:textId="2D241F67" w:rsidR="00636818" w:rsidRPr="00E57E03" w:rsidRDefault="00636818" w:rsidP="0063681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2. Any </w:t>
            </w:r>
            <w:r w:rsidR="00F546FE" w:rsidRPr="00E57E03">
              <w:rPr>
                <w:rFonts w:cs="Times New Roman"/>
                <w:color w:val="000000" w:themeColor="text1"/>
                <w:sz w:val="22"/>
              </w:rPr>
              <w:t>member of the Board of Management shall be removed</w:t>
            </w:r>
            <w:r w:rsidRPr="00E57E03">
              <w:rPr>
                <w:rFonts w:cs="Times New Roman"/>
                <w:color w:val="000000" w:themeColor="text1"/>
                <w:sz w:val="22"/>
              </w:rPr>
              <w:t xml:space="preserve"> from being the member of the Board of Management in the following cases:</w:t>
            </w:r>
          </w:p>
          <w:p w14:paraId="3EBD82AE" w14:textId="77777777" w:rsidR="00636818" w:rsidRPr="00E57E03" w:rsidRDefault="00636818" w:rsidP="0063681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b) </w:t>
            </w:r>
            <w:r w:rsidRPr="00E57E03">
              <w:rPr>
                <w:rFonts w:cs="Times New Roman"/>
                <w:color w:val="000000" w:themeColor="text1"/>
                <w:sz w:val="22"/>
                <w:u w:val="single"/>
              </w:rPr>
              <w:t>Fail to fulfill the assigned tasks and duties</w:t>
            </w:r>
            <w:r w:rsidRPr="00E57E03">
              <w:rPr>
                <w:rFonts w:cs="Times New Roman"/>
                <w:color w:val="000000" w:themeColor="text1"/>
                <w:sz w:val="22"/>
              </w:rPr>
              <w:t>;</w:t>
            </w:r>
          </w:p>
          <w:p w14:paraId="00448D02" w14:textId="074B1AC4" w:rsidR="00636818" w:rsidRPr="00E57E03" w:rsidRDefault="00636818" w:rsidP="00636818">
            <w:pPr>
              <w:widowControl w:val="0"/>
              <w:adjustRightInd w:val="0"/>
              <w:snapToGrid w:val="0"/>
              <w:spacing w:before="60" w:after="60"/>
              <w:jc w:val="both"/>
              <w:rPr>
                <w:rFonts w:cs="Times New Roman"/>
                <w:b/>
                <w:color w:val="000000" w:themeColor="text1"/>
                <w:sz w:val="22"/>
              </w:rPr>
            </w:pPr>
            <w:r w:rsidRPr="00E57E03">
              <w:rPr>
                <w:rFonts w:cs="Times New Roman"/>
                <w:color w:val="000000" w:themeColor="text1"/>
                <w:sz w:val="22"/>
              </w:rPr>
              <w:t xml:space="preserve">c) Other cases as prescribed by the </w:t>
            </w:r>
            <w:r w:rsidRPr="00E57E03">
              <w:rPr>
                <w:rFonts w:cs="Times New Roman"/>
                <w:color w:val="000000" w:themeColor="text1"/>
                <w:sz w:val="22"/>
                <w:u w:val="single"/>
              </w:rPr>
              <w:t>laws and</w:t>
            </w:r>
            <w:r w:rsidRPr="00E57E03">
              <w:rPr>
                <w:rFonts w:cs="Times New Roman"/>
                <w:color w:val="000000" w:themeColor="text1"/>
                <w:sz w:val="22"/>
              </w:rPr>
              <w:t xml:space="preserve"> the Petrolimex Charter.</w:t>
            </w:r>
          </w:p>
        </w:tc>
        <w:tc>
          <w:tcPr>
            <w:tcW w:w="1272" w:type="pct"/>
          </w:tcPr>
          <w:p w14:paraId="674E849A" w14:textId="517D9B3E" w:rsidR="00636818" w:rsidRPr="00E57E03" w:rsidRDefault="00636818" w:rsidP="0063681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Amend and supplement to comply with Article 26, Clause 5 of the 2026 Draft Charter. The </w:t>
            </w:r>
            <w:r w:rsidRPr="00E57E03">
              <w:rPr>
                <w:rFonts w:cs="Times New Roman"/>
                <w:color w:val="000000" w:themeColor="text1"/>
                <w:sz w:val="22"/>
                <w:u w:val="single"/>
              </w:rPr>
              <w:t>underlined</w:t>
            </w:r>
            <w:r w:rsidRPr="00E57E03">
              <w:rPr>
                <w:rFonts w:cs="Times New Roman"/>
                <w:color w:val="000000" w:themeColor="text1"/>
                <w:sz w:val="22"/>
              </w:rPr>
              <w:t xml:space="preserve"> contents move from clause 5, Article 6 of the Regulation 219.</w:t>
            </w:r>
          </w:p>
          <w:p w14:paraId="60E23DD9" w14:textId="77777777" w:rsidR="00636818" w:rsidRPr="00E57E03" w:rsidRDefault="00636818" w:rsidP="00636818">
            <w:pPr>
              <w:widowControl w:val="0"/>
              <w:adjustRightInd w:val="0"/>
              <w:snapToGrid w:val="0"/>
              <w:spacing w:before="60" w:after="60"/>
              <w:jc w:val="both"/>
              <w:rPr>
                <w:rFonts w:cs="Times New Roman"/>
                <w:color w:val="000000" w:themeColor="text1"/>
                <w:sz w:val="22"/>
              </w:rPr>
            </w:pPr>
          </w:p>
        </w:tc>
      </w:tr>
      <w:tr w:rsidR="00DA54F0" w:rsidRPr="00E57E03" w14:paraId="797D18DF" w14:textId="77777777" w:rsidTr="0024588C">
        <w:trPr>
          <w:trHeight w:val="20"/>
        </w:trPr>
        <w:tc>
          <w:tcPr>
            <w:tcW w:w="261" w:type="pct"/>
          </w:tcPr>
          <w:p w14:paraId="56511FB4" w14:textId="77777777" w:rsidR="00DA54F0" w:rsidRPr="00E57E03" w:rsidRDefault="00DA54F0" w:rsidP="00DA54F0">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013A17CF" w14:textId="22CE6AEB" w:rsidR="00DA54F0" w:rsidRPr="00E57E03" w:rsidRDefault="00DA54F0" w:rsidP="00DA54F0">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Article 9, Clause 4, point b</w:t>
            </w:r>
          </w:p>
        </w:tc>
        <w:tc>
          <w:tcPr>
            <w:tcW w:w="1416" w:type="pct"/>
          </w:tcPr>
          <w:p w14:paraId="63E8826D" w14:textId="77777777" w:rsidR="00DA54F0" w:rsidRPr="00E57E03" w:rsidRDefault="00DA54F0" w:rsidP="00DA54F0">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4. The General Meeting of Shareholders shall be convened by the Board of Management to elect the additional BOM members in following circumstances:</w:t>
            </w:r>
          </w:p>
          <w:p w14:paraId="2CB00464" w14:textId="69E06D41" w:rsidR="00DA54F0" w:rsidRPr="00E57E03" w:rsidRDefault="00DA54F0" w:rsidP="00DA54F0">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b) Number of independent members of BOM reduces, not ensuring the ratio as prescribed in point b, clause 1, Article 137 of the Law on Enterprises;</w:t>
            </w:r>
          </w:p>
        </w:tc>
        <w:tc>
          <w:tcPr>
            <w:tcW w:w="1434" w:type="pct"/>
          </w:tcPr>
          <w:p w14:paraId="61CC58C3" w14:textId="77777777" w:rsidR="00DA54F0" w:rsidRPr="00E57E03" w:rsidRDefault="00DA54F0" w:rsidP="00DA54F0">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4. The General Meeting of Shareholders shall be convened by the Board of Management to elect the additional BOM members in following circumstances:</w:t>
            </w:r>
          </w:p>
          <w:p w14:paraId="77A53FE6" w14:textId="77761E3B" w:rsidR="00DA54F0" w:rsidRPr="00E57E03" w:rsidRDefault="00DA54F0" w:rsidP="00DA54F0">
            <w:pPr>
              <w:widowControl w:val="0"/>
              <w:adjustRightInd w:val="0"/>
              <w:snapToGrid w:val="0"/>
              <w:spacing w:before="60" w:after="60"/>
              <w:jc w:val="both"/>
              <w:rPr>
                <w:rFonts w:cs="Times New Roman"/>
                <w:bCs/>
                <w:color w:val="000000" w:themeColor="text1"/>
                <w:sz w:val="22"/>
              </w:rPr>
            </w:pPr>
            <w:r w:rsidRPr="00E57E03">
              <w:rPr>
                <w:rFonts w:cs="Times New Roman"/>
                <w:strike/>
                <w:color w:val="000000" w:themeColor="text1"/>
                <w:sz w:val="22"/>
              </w:rPr>
              <w:t>b) Number of independent members of BOM reduces, not ensuring the ratio as prescribed in point b, clause 1, Article 137 of the Law on Enterprises;</w:t>
            </w:r>
          </w:p>
        </w:tc>
        <w:tc>
          <w:tcPr>
            <w:tcW w:w="1272" w:type="pct"/>
          </w:tcPr>
          <w:p w14:paraId="19916284" w14:textId="5AB974EF" w:rsidR="00DA54F0" w:rsidRPr="00E57E03" w:rsidRDefault="00DA54F0" w:rsidP="00DA54F0">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Recommend to remove Article 9, Clause 4, point b of Regulation 219 as this content is not specified by the Charter. Moreover, regulations at point b, clause 1, Article 137 of the Law on Enterprises shall be applicable to the Joint Stock Company having Audit Committee.</w:t>
            </w:r>
          </w:p>
        </w:tc>
      </w:tr>
      <w:tr w:rsidR="002D5C0C" w:rsidRPr="00E57E03" w14:paraId="0ECEA481" w14:textId="77777777" w:rsidTr="0024588C">
        <w:trPr>
          <w:trHeight w:val="20"/>
        </w:trPr>
        <w:tc>
          <w:tcPr>
            <w:tcW w:w="261" w:type="pct"/>
          </w:tcPr>
          <w:p w14:paraId="52AFF9AF" w14:textId="77777777" w:rsidR="002D5C0C" w:rsidRPr="00E57E03" w:rsidRDefault="002D5C0C" w:rsidP="002D5C0C">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440A8843" w14:textId="58AEDBEE" w:rsidR="002D5C0C" w:rsidRPr="00E57E03" w:rsidRDefault="002D5C0C" w:rsidP="002D5C0C">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Article 10, Clause 1, point a</w:t>
            </w:r>
          </w:p>
        </w:tc>
        <w:tc>
          <w:tcPr>
            <w:tcW w:w="1416" w:type="pct"/>
          </w:tcPr>
          <w:p w14:paraId="47383192" w14:textId="77777777" w:rsidR="002D5C0C" w:rsidRPr="00E57E03" w:rsidRDefault="002D5C0C" w:rsidP="002D5C0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10. Procedure of election, dismissal and removal of members of the Board of Management</w:t>
            </w:r>
          </w:p>
          <w:p w14:paraId="51D28E65" w14:textId="234C3266" w:rsidR="002D5C0C" w:rsidRPr="00E57E03" w:rsidRDefault="002D5C0C" w:rsidP="002D5C0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1. Nomination of a member of </w:t>
            </w:r>
            <w:r w:rsidR="006F6ADF" w:rsidRPr="00E57E03">
              <w:rPr>
                <w:rFonts w:cs="Times New Roman"/>
                <w:color w:val="000000" w:themeColor="text1"/>
                <w:sz w:val="22"/>
              </w:rPr>
              <w:t>Board of Management</w:t>
            </w:r>
            <w:r w:rsidRPr="00E57E03">
              <w:rPr>
                <w:rFonts w:cs="Times New Roman"/>
                <w:color w:val="000000" w:themeColor="text1"/>
                <w:sz w:val="22"/>
              </w:rPr>
              <w:t xml:space="preserve"> is carried out as follows:</w:t>
            </w:r>
          </w:p>
          <w:p w14:paraId="15ADA929" w14:textId="5DD57A6D" w:rsidR="002D5C0C" w:rsidRPr="00E57E03" w:rsidRDefault="002D5C0C" w:rsidP="002D5C0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a) The ordinary shareholders </w:t>
            </w:r>
            <w:r w:rsidR="00473425" w:rsidRPr="00E57E03">
              <w:rPr>
                <w:rFonts w:cs="Times New Roman"/>
                <w:color w:val="000000" w:themeColor="text1"/>
                <w:sz w:val="22"/>
              </w:rPr>
              <w:t>grouping together</w:t>
            </w:r>
            <w:r w:rsidRPr="00E57E03">
              <w:rPr>
                <w:rFonts w:cs="Times New Roman"/>
                <w:color w:val="000000" w:themeColor="text1"/>
                <w:sz w:val="22"/>
              </w:rPr>
              <w:t xml:space="preserve"> to nominate a member of Board of Management must notify the group </w:t>
            </w:r>
            <w:r w:rsidRPr="00E57E03">
              <w:rPr>
                <w:rFonts w:cs="Times New Roman"/>
                <w:color w:val="000000" w:themeColor="text1"/>
                <w:sz w:val="22"/>
              </w:rPr>
              <w:lastRenderedPageBreak/>
              <w:t>meeting for the participants to know before opening the General Meeting of Shareholders.</w:t>
            </w:r>
          </w:p>
          <w:p w14:paraId="631A5C70" w14:textId="77777777" w:rsidR="002D5C0C" w:rsidRPr="00E57E03" w:rsidRDefault="002D5C0C" w:rsidP="002D5C0C">
            <w:pPr>
              <w:widowControl w:val="0"/>
              <w:adjustRightInd w:val="0"/>
              <w:snapToGrid w:val="0"/>
              <w:spacing w:before="60" w:after="60"/>
              <w:jc w:val="both"/>
              <w:rPr>
                <w:rFonts w:cs="Times New Roman"/>
                <w:bCs/>
                <w:color w:val="000000" w:themeColor="text1"/>
                <w:sz w:val="22"/>
              </w:rPr>
            </w:pPr>
          </w:p>
        </w:tc>
        <w:tc>
          <w:tcPr>
            <w:tcW w:w="1434" w:type="pct"/>
          </w:tcPr>
          <w:p w14:paraId="423F5606" w14:textId="77777777" w:rsidR="002D5C0C" w:rsidRPr="00E57E03" w:rsidRDefault="002D5C0C" w:rsidP="002D5C0C">
            <w:pPr>
              <w:widowControl w:val="0"/>
              <w:adjustRightInd w:val="0"/>
              <w:snapToGrid w:val="0"/>
              <w:spacing w:before="60" w:after="60"/>
              <w:jc w:val="both"/>
              <w:rPr>
                <w:rFonts w:cs="Times New Roman"/>
                <w:b/>
                <w:color w:val="000000" w:themeColor="text1"/>
                <w:sz w:val="22"/>
              </w:rPr>
            </w:pPr>
            <w:r w:rsidRPr="004E539E">
              <w:rPr>
                <w:rFonts w:cs="Times New Roman"/>
                <w:b/>
                <w:color w:val="000000" w:themeColor="text1"/>
                <w:sz w:val="22"/>
              </w:rPr>
              <w:lastRenderedPageBreak/>
              <w:t xml:space="preserve">Article 10. Procedures of </w:t>
            </w:r>
            <w:r w:rsidRPr="00E57E03">
              <w:rPr>
                <w:rFonts w:cs="Times New Roman"/>
                <w:b/>
                <w:color w:val="000000" w:themeColor="text1"/>
                <w:sz w:val="22"/>
                <w:u w:val="single"/>
              </w:rPr>
              <w:t>nomination, self-nomination</w:t>
            </w:r>
            <w:r w:rsidRPr="00E57E03">
              <w:rPr>
                <w:rFonts w:cs="Times New Roman"/>
                <w:b/>
                <w:color w:val="000000" w:themeColor="text1"/>
                <w:sz w:val="22"/>
              </w:rPr>
              <w:t>, election, removal and dismissal of members of the Board of Management</w:t>
            </w:r>
          </w:p>
          <w:p w14:paraId="12D3ECA3" w14:textId="61E11C08" w:rsidR="002D5C0C" w:rsidRPr="00E57E03" w:rsidRDefault="002D5C0C" w:rsidP="002D5C0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1. Nomination of a member of </w:t>
            </w:r>
            <w:r w:rsidR="006F6ADF" w:rsidRPr="00E57E03">
              <w:rPr>
                <w:rFonts w:cs="Times New Roman"/>
                <w:color w:val="000000" w:themeColor="text1"/>
                <w:sz w:val="22"/>
              </w:rPr>
              <w:t>Board of Management</w:t>
            </w:r>
            <w:r w:rsidRPr="00E57E03">
              <w:rPr>
                <w:rFonts w:cs="Times New Roman"/>
                <w:color w:val="000000" w:themeColor="text1"/>
                <w:sz w:val="22"/>
              </w:rPr>
              <w:t xml:space="preserve"> is carried out as follows:</w:t>
            </w:r>
          </w:p>
          <w:p w14:paraId="05591653" w14:textId="61C6876E" w:rsidR="002D5C0C" w:rsidRPr="00E57E03" w:rsidRDefault="002D5C0C" w:rsidP="00473425">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a) The ordinary shareholders </w:t>
            </w:r>
            <w:r w:rsidR="00473425" w:rsidRPr="00E57E03">
              <w:rPr>
                <w:rFonts w:cs="Times New Roman"/>
                <w:color w:val="000000" w:themeColor="text1"/>
                <w:sz w:val="22"/>
              </w:rPr>
              <w:t>grouping together</w:t>
            </w:r>
            <w:r w:rsidRPr="00E57E03">
              <w:rPr>
                <w:rFonts w:cs="Times New Roman"/>
                <w:color w:val="000000" w:themeColor="text1"/>
                <w:sz w:val="22"/>
              </w:rPr>
              <w:t xml:space="preserve"> to nominate a member of Board </w:t>
            </w:r>
            <w:r w:rsidRPr="00E57E03">
              <w:rPr>
                <w:rFonts w:cs="Times New Roman"/>
                <w:color w:val="000000" w:themeColor="text1"/>
                <w:sz w:val="22"/>
              </w:rPr>
              <w:lastRenderedPageBreak/>
              <w:t xml:space="preserve">of Management must notify the group meeting for the participants to know before opening the General Meeting of Shareholders </w:t>
            </w:r>
            <w:r w:rsidRPr="00E57E03">
              <w:rPr>
                <w:rFonts w:cs="Times New Roman"/>
                <w:color w:val="000000" w:themeColor="text1"/>
                <w:sz w:val="22"/>
                <w:u w:val="single"/>
              </w:rPr>
              <w:t>as prescribed by the Petrolimex Charter.</w:t>
            </w:r>
          </w:p>
        </w:tc>
        <w:tc>
          <w:tcPr>
            <w:tcW w:w="1272" w:type="pct"/>
          </w:tcPr>
          <w:p w14:paraId="4FBBB92A" w14:textId="77777777" w:rsidR="002D5C0C" w:rsidRPr="00E57E03" w:rsidRDefault="002D5C0C" w:rsidP="002D5C0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Add the “nomination, self-nomination” to name of Article 10 to fully reflect this article. </w:t>
            </w:r>
          </w:p>
          <w:p w14:paraId="6FBB6AA7" w14:textId="17C7E5BE" w:rsidR="002D5C0C" w:rsidRPr="00E57E03" w:rsidRDefault="002D5C0C" w:rsidP="002D5C0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At point a, add the Charter as the 2026 Draft Charter also specifies this content (Article 12, Clause 4).</w:t>
            </w:r>
          </w:p>
          <w:p w14:paraId="45BA1544" w14:textId="77777777" w:rsidR="002D5C0C" w:rsidRPr="00E57E03" w:rsidRDefault="002D5C0C" w:rsidP="002D5C0C">
            <w:pPr>
              <w:widowControl w:val="0"/>
              <w:adjustRightInd w:val="0"/>
              <w:snapToGrid w:val="0"/>
              <w:spacing w:before="60" w:after="60"/>
              <w:jc w:val="both"/>
              <w:rPr>
                <w:rFonts w:cs="Times New Roman"/>
                <w:color w:val="000000" w:themeColor="text1"/>
                <w:sz w:val="22"/>
              </w:rPr>
            </w:pPr>
          </w:p>
        </w:tc>
      </w:tr>
      <w:tr w:rsidR="00605893" w:rsidRPr="00E57E03" w14:paraId="447EA454" w14:textId="77777777" w:rsidTr="0024588C">
        <w:trPr>
          <w:trHeight w:val="20"/>
        </w:trPr>
        <w:tc>
          <w:tcPr>
            <w:tcW w:w="261" w:type="pct"/>
          </w:tcPr>
          <w:p w14:paraId="23887076" w14:textId="77777777" w:rsidR="00605893" w:rsidRPr="00E57E03" w:rsidRDefault="00605893" w:rsidP="0060589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444F11E5" w14:textId="2FEEE226" w:rsidR="00605893" w:rsidRPr="00E57E03" w:rsidRDefault="00605893" w:rsidP="00605893">
            <w:pPr>
              <w:widowControl w:val="0"/>
              <w:adjustRightInd w:val="0"/>
              <w:snapToGrid w:val="0"/>
              <w:spacing w:before="60" w:after="60"/>
              <w:jc w:val="both"/>
              <w:rPr>
                <w:rFonts w:cs="Times New Roman"/>
                <w:sz w:val="22"/>
                <w:highlight w:val="yellow"/>
              </w:rPr>
            </w:pPr>
            <w:r w:rsidRPr="004E539E">
              <w:rPr>
                <w:rFonts w:cs="Times New Roman"/>
                <w:color w:val="000000" w:themeColor="text1"/>
                <w:sz w:val="22"/>
              </w:rPr>
              <w:t>Article 10, Clause 2</w:t>
            </w:r>
          </w:p>
        </w:tc>
        <w:tc>
          <w:tcPr>
            <w:tcW w:w="1416" w:type="pct"/>
          </w:tcPr>
          <w:p w14:paraId="286E4C6B" w14:textId="18466D04" w:rsidR="00605893" w:rsidRPr="00E57E03" w:rsidRDefault="00605893" w:rsidP="00605893">
            <w:pPr>
              <w:widowControl w:val="0"/>
              <w:adjustRightInd w:val="0"/>
              <w:snapToGrid w:val="0"/>
              <w:spacing w:before="60" w:after="60"/>
              <w:jc w:val="both"/>
              <w:rPr>
                <w:rFonts w:cs="Times New Roman"/>
                <w:bCs/>
                <w:color w:val="000000" w:themeColor="text1"/>
                <w:sz w:val="22"/>
                <w:highlight w:val="yellow"/>
              </w:rPr>
            </w:pPr>
            <w:r w:rsidRPr="00E57E03">
              <w:rPr>
                <w:rFonts w:cs="Times New Roman"/>
                <w:color w:val="000000" w:themeColor="text1"/>
                <w:sz w:val="22"/>
              </w:rPr>
              <w:t xml:space="preserve">2. Where the number of BOM candidates nominated or self-nominated remains insufficient as required under Clause 5, Article 115 of the Law on Enterprises, the incumbent BOM shall nominate additional candidates or organize further nominations in accordance with the Petrolimex Charter, the Internal Governance Regulation and the Operation Regulation of the Board of Management. The </w:t>
            </w:r>
            <w:r w:rsidR="00473425" w:rsidRPr="00E57E03">
              <w:rPr>
                <w:rFonts w:cs="Times New Roman"/>
                <w:color w:val="000000" w:themeColor="text1"/>
                <w:sz w:val="22"/>
              </w:rPr>
              <w:t xml:space="preserve">incumbent BOM’s </w:t>
            </w:r>
            <w:r w:rsidRPr="00E57E03">
              <w:rPr>
                <w:rFonts w:cs="Times New Roman"/>
                <w:color w:val="000000" w:themeColor="text1"/>
                <w:sz w:val="22"/>
              </w:rPr>
              <w:t>nomination of additional candidate must be clearly announced before the BOM member is voted and elected by the General Meeting of Shareholders as prescribed by the laws.</w:t>
            </w:r>
          </w:p>
        </w:tc>
        <w:tc>
          <w:tcPr>
            <w:tcW w:w="1434" w:type="pct"/>
          </w:tcPr>
          <w:p w14:paraId="2A7670A0" w14:textId="4B565302" w:rsidR="00605893" w:rsidRPr="00E57E03" w:rsidRDefault="00605893" w:rsidP="00473425">
            <w:pPr>
              <w:widowControl w:val="0"/>
              <w:adjustRightInd w:val="0"/>
              <w:snapToGrid w:val="0"/>
              <w:spacing w:before="60" w:after="60"/>
              <w:jc w:val="both"/>
              <w:rPr>
                <w:rFonts w:cs="Times New Roman"/>
                <w:bCs/>
                <w:color w:val="000000" w:themeColor="text1"/>
                <w:sz w:val="22"/>
                <w:highlight w:val="yellow"/>
              </w:rPr>
            </w:pPr>
            <w:r w:rsidRPr="00E57E03">
              <w:rPr>
                <w:rFonts w:cs="Times New Roman"/>
                <w:color w:val="000000" w:themeColor="text1"/>
                <w:sz w:val="22"/>
              </w:rPr>
              <w:t xml:space="preserve">2. In the event that the number of nominated candidates to the Board of Management is still insufficient for the </w:t>
            </w:r>
            <w:r w:rsidR="00473425" w:rsidRPr="00E57E03">
              <w:rPr>
                <w:rFonts w:cs="Times New Roman"/>
                <w:color w:val="000000" w:themeColor="text1"/>
                <w:sz w:val="22"/>
              </w:rPr>
              <w:t>required number of candidates</w:t>
            </w:r>
            <w:r w:rsidRPr="00E57E03">
              <w:rPr>
                <w:rFonts w:cs="Times New Roman"/>
                <w:color w:val="000000" w:themeColor="text1"/>
                <w:sz w:val="22"/>
              </w:rPr>
              <w:t xml:space="preserve"> </w:t>
            </w:r>
            <w:r w:rsidRPr="00E57E03">
              <w:rPr>
                <w:rFonts w:cs="Times New Roman"/>
                <w:strike/>
                <w:color w:val="000000" w:themeColor="text1"/>
                <w:sz w:val="22"/>
              </w:rPr>
              <w:t>as prescribed at clause 5, Article 115 of the Law on Enterprises</w:t>
            </w:r>
            <w:r w:rsidRPr="00E57E03">
              <w:rPr>
                <w:rFonts w:cs="Times New Roman"/>
                <w:color w:val="000000" w:themeColor="text1"/>
                <w:sz w:val="22"/>
              </w:rPr>
              <w:t xml:space="preserve">, the concurrent Board of Management may further recommend or nominate a candidate as prescribed by Petrolimex’s Charter, the Internal Governance Regulation and </w:t>
            </w:r>
            <w:r w:rsidRPr="00E57E03">
              <w:rPr>
                <w:rFonts w:cs="Times New Roman"/>
                <w:color w:val="000000" w:themeColor="text1"/>
                <w:sz w:val="22"/>
                <w:u w:val="single"/>
              </w:rPr>
              <w:t>this</w:t>
            </w:r>
            <w:r w:rsidRPr="00E57E03">
              <w:rPr>
                <w:rFonts w:cs="Times New Roman"/>
                <w:color w:val="000000" w:themeColor="text1"/>
                <w:sz w:val="22"/>
              </w:rPr>
              <w:t xml:space="preserve"> Regulation. The </w:t>
            </w:r>
            <w:r w:rsidR="00473425" w:rsidRPr="00E57E03">
              <w:rPr>
                <w:rFonts w:cs="Times New Roman"/>
                <w:color w:val="000000" w:themeColor="text1"/>
                <w:sz w:val="22"/>
              </w:rPr>
              <w:t xml:space="preserve">incumbent BOM’s </w:t>
            </w:r>
            <w:r w:rsidRPr="00E57E03">
              <w:rPr>
                <w:rFonts w:cs="Times New Roman"/>
                <w:color w:val="000000" w:themeColor="text1"/>
                <w:sz w:val="22"/>
              </w:rPr>
              <w:t>nomination of additional candidate must be clearly announced before the BOM member is voted and elected by the General Meeting of Shareholders as prescribed by the laws.</w:t>
            </w:r>
          </w:p>
        </w:tc>
        <w:tc>
          <w:tcPr>
            <w:tcW w:w="1272" w:type="pct"/>
          </w:tcPr>
          <w:p w14:paraId="29DB2902" w14:textId="0A90E210" w:rsidR="00605893" w:rsidRPr="00E57E03" w:rsidRDefault="00605893" w:rsidP="00605893">
            <w:pPr>
              <w:widowControl w:val="0"/>
              <w:adjustRightInd w:val="0"/>
              <w:snapToGrid w:val="0"/>
              <w:spacing w:before="60" w:after="60"/>
              <w:jc w:val="both"/>
              <w:rPr>
                <w:rFonts w:cs="Times New Roman"/>
                <w:i/>
                <w:color w:val="000000" w:themeColor="text1"/>
                <w:sz w:val="22"/>
              </w:rPr>
            </w:pPr>
            <w:r w:rsidRPr="00E57E03">
              <w:rPr>
                <w:rFonts w:cs="Times New Roman"/>
                <w:color w:val="000000" w:themeColor="text1"/>
                <w:sz w:val="22"/>
              </w:rPr>
              <w:t>Recommend to remove the references to clause 5, Article 115 of the Law on Enterprises in accordance with the 2026 Draft Charter (Article 25, Clause 3).</w:t>
            </w:r>
          </w:p>
          <w:p w14:paraId="22AC3972" w14:textId="77777777" w:rsidR="00605893" w:rsidRPr="00E57E03" w:rsidRDefault="00605893" w:rsidP="00605893">
            <w:pPr>
              <w:widowControl w:val="0"/>
              <w:adjustRightInd w:val="0"/>
              <w:snapToGrid w:val="0"/>
              <w:spacing w:before="60" w:after="60"/>
              <w:jc w:val="both"/>
              <w:rPr>
                <w:rFonts w:cs="Times New Roman"/>
                <w:color w:val="000000" w:themeColor="text1"/>
                <w:sz w:val="22"/>
              </w:rPr>
            </w:pPr>
          </w:p>
          <w:p w14:paraId="1CCB761B" w14:textId="77777777" w:rsidR="00605893" w:rsidRPr="00E57E03" w:rsidRDefault="00605893" w:rsidP="00605893">
            <w:pPr>
              <w:widowControl w:val="0"/>
              <w:adjustRightInd w:val="0"/>
              <w:snapToGrid w:val="0"/>
              <w:spacing w:before="60" w:after="60"/>
              <w:jc w:val="both"/>
              <w:rPr>
                <w:rFonts w:cs="Times New Roman"/>
                <w:color w:val="000000" w:themeColor="text1"/>
                <w:sz w:val="22"/>
                <w:highlight w:val="yellow"/>
              </w:rPr>
            </w:pPr>
          </w:p>
        </w:tc>
      </w:tr>
      <w:tr w:rsidR="00B9073F" w:rsidRPr="00E57E03" w14:paraId="7D0CF186" w14:textId="77777777" w:rsidTr="0024588C">
        <w:trPr>
          <w:trHeight w:val="20"/>
        </w:trPr>
        <w:tc>
          <w:tcPr>
            <w:tcW w:w="261" w:type="pct"/>
          </w:tcPr>
          <w:p w14:paraId="44C193DC" w14:textId="77777777" w:rsidR="00B9073F" w:rsidRPr="00E57E03" w:rsidRDefault="00B9073F" w:rsidP="00B9073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51522AAC" w14:textId="6644B91A" w:rsidR="00B9073F" w:rsidRPr="00E57E03" w:rsidRDefault="00B9073F" w:rsidP="00B9073F">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Article 10, Clause 4</w:t>
            </w:r>
          </w:p>
        </w:tc>
        <w:tc>
          <w:tcPr>
            <w:tcW w:w="1416" w:type="pct"/>
          </w:tcPr>
          <w:p w14:paraId="757E1A92" w14:textId="77777777" w:rsidR="00B9073F" w:rsidRPr="00E57E03" w:rsidRDefault="00B9073F" w:rsidP="00B9073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4. Election, removal or discharge of members of the Board of Management shall be approved by the General Meeting of Shareholders in accordance with the voting principles.</w:t>
            </w:r>
          </w:p>
          <w:p w14:paraId="583BFAD3" w14:textId="77777777" w:rsidR="00B9073F" w:rsidRPr="00E57E03" w:rsidRDefault="00B9073F" w:rsidP="00B9073F">
            <w:pPr>
              <w:widowControl w:val="0"/>
              <w:adjustRightInd w:val="0"/>
              <w:snapToGrid w:val="0"/>
              <w:spacing w:before="60" w:after="60"/>
              <w:jc w:val="both"/>
              <w:rPr>
                <w:rFonts w:cs="Times New Roman"/>
                <w:bCs/>
                <w:color w:val="000000" w:themeColor="text1"/>
                <w:sz w:val="22"/>
              </w:rPr>
            </w:pPr>
          </w:p>
        </w:tc>
        <w:tc>
          <w:tcPr>
            <w:tcW w:w="1434" w:type="pct"/>
          </w:tcPr>
          <w:p w14:paraId="1012518A" w14:textId="01CE441C" w:rsidR="00B9073F" w:rsidRPr="00E57E03" w:rsidRDefault="00B9073F" w:rsidP="00B9073F">
            <w:pPr>
              <w:widowControl w:val="0"/>
              <w:adjustRightInd w:val="0"/>
              <w:snapToGrid w:val="0"/>
              <w:spacing w:before="60" w:after="60"/>
              <w:jc w:val="both"/>
              <w:rPr>
                <w:rFonts w:cs="Times New Roman"/>
                <w:bCs/>
                <w:color w:val="000000" w:themeColor="text1"/>
                <w:sz w:val="22"/>
              </w:rPr>
            </w:pPr>
            <w:r w:rsidRPr="004E539E">
              <w:rPr>
                <w:rFonts w:cs="Times New Roman"/>
                <w:color w:val="000000" w:themeColor="text1"/>
                <w:sz w:val="22"/>
              </w:rPr>
              <w:t xml:space="preserve">4. </w:t>
            </w:r>
            <w:r w:rsidRPr="00E57E03">
              <w:rPr>
                <w:rFonts w:cs="Times New Roman"/>
                <w:strike/>
                <w:color w:val="000000" w:themeColor="text1"/>
                <w:sz w:val="22"/>
              </w:rPr>
              <w:t>Election</w:t>
            </w:r>
            <w:r w:rsidRPr="00E57E03">
              <w:rPr>
                <w:rFonts w:cs="Times New Roman"/>
                <w:color w:val="000000" w:themeColor="text1"/>
                <w:sz w:val="22"/>
              </w:rPr>
              <w:t>, removal and dismissal of BOM member is decided by the General Meeting of Shareholders in accordance with the</w:t>
            </w:r>
            <w:r w:rsidRPr="00E57E03">
              <w:rPr>
                <w:rFonts w:cs="Times New Roman"/>
                <w:strike/>
                <w:color w:val="000000" w:themeColor="text1"/>
                <w:sz w:val="22"/>
              </w:rPr>
              <w:t xml:space="preserve"> voting principles</w:t>
            </w:r>
            <w:r w:rsidRPr="00E57E03">
              <w:rPr>
                <w:rFonts w:cs="Times New Roman"/>
                <w:color w:val="000000" w:themeColor="text1"/>
                <w:sz w:val="22"/>
              </w:rPr>
              <w:t xml:space="preserve"> </w:t>
            </w:r>
            <w:r w:rsidRPr="00E57E03">
              <w:rPr>
                <w:rFonts w:cs="Times New Roman"/>
                <w:color w:val="000000" w:themeColor="text1"/>
                <w:sz w:val="22"/>
                <w:u w:val="single"/>
              </w:rPr>
              <w:t>conditions for passing of resolutions of the General Meeting of Shareholders as prescribed by the Petrolimex Charter.</w:t>
            </w:r>
          </w:p>
        </w:tc>
        <w:tc>
          <w:tcPr>
            <w:tcW w:w="1272" w:type="pct"/>
          </w:tcPr>
          <w:p w14:paraId="29CEC94A" w14:textId="34D6B8AD" w:rsidR="00B9073F" w:rsidRPr="00E57E03" w:rsidRDefault="00B9073F" w:rsidP="00B9073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Recommend to remove the provision on electing BOM members at this point as it is specified at Clause 3 of the same Article (Cumulative voting principle). At the same time, the </w:t>
            </w:r>
            <w:r w:rsidRPr="00E57E03">
              <w:rPr>
                <w:rFonts w:cs="Times New Roman"/>
                <w:color w:val="000000" w:themeColor="text1"/>
                <w:sz w:val="22"/>
                <w:u w:val="single"/>
              </w:rPr>
              <w:t>underlined</w:t>
            </w:r>
            <w:r w:rsidRPr="00E57E03">
              <w:rPr>
                <w:rFonts w:cs="Times New Roman"/>
                <w:color w:val="000000" w:themeColor="text1"/>
                <w:sz w:val="22"/>
              </w:rPr>
              <w:t xml:space="preserve"> phrase is added to provide a basis for removal and dismissal in accordance with the conditions for adoption of resolutions of the General Meeting of Shareholders as defined in the 2026 Draft Charter (Article 21).</w:t>
            </w:r>
          </w:p>
        </w:tc>
      </w:tr>
      <w:tr w:rsidR="003010F3" w:rsidRPr="00E57E03" w14:paraId="20CAAD1C" w14:textId="77777777" w:rsidTr="0024588C">
        <w:trPr>
          <w:trHeight w:val="20"/>
        </w:trPr>
        <w:tc>
          <w:tcPr>
            <w:tcW w:w="261" w:type="pct"/>
          </w:tcPr>
          <w:p w14:paraId="1AF666EC" w14:textId="77777777" w:rsidR="003010F3" w:rsidRPr="00E57E03" w:rsidRDefault="003010F3" w:rsidP="003010F3">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617" w:type="pct"/>
          </w:tcPr>
          <w:p w14:paraId="79D727D3" w14:textId="2C779373" w:rsidR="003010F3" w:rsidRPr="00E57E03" w:rsidRDefault="003010F3" w:rsidP="003010F3">
            <w:pPr>
              <w:widowControl w:val="0"/>
              <w:adjustRightInd w:val="0"/>
              <w:snapToGrid w:val="0"/>
              <w:spacing w:before="60" w:after="60" w:line="276" w:lineRule="auto"/>
              <w:jc w:val="both"/>
              <w:rPr>
                <w:rFonts w:cs="Times New Roman"/>
                <w:sz w:val="22"/>
              </w:rPr>
            </w:pPr>
            <w:r w:rsidRPr="004E539E">
              <w:rPr>
                <w:rFonts w:cs="Times New Roman"/>
                <w:sz w:val="22"/>
              </w:rPr>
              <w:t>Article 11, Clause 1</w:t>
            </w:r>
          </w:p>
        </w:tc>
        <w:tc>
          <w:tcPr>
            <w:tcW w:w="1416" w:type="pct"/>
          </w:tcPr>
          <w:p w14:paraId="4AA31801" w14:textId="77777777"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Article 11. Notice on election, removal or dismissal of members of the Board of Management</w:t>
            </w:r>
          </w:p>
          <w:p w14:paraId="6DDCA8EA" w14:textId="3344F235"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1. Where the candidates to the Board of Management are identified, the candidate-related information must be disclosed at least 10 days before opening date of the General Meeting of Shareholders on the Petrolimex’s website so that the shareholders may understand such candidates before voting, the candidates to the Board of Management must have a written commitment on honesty and accuracy of disclosed personal information and task fulfillment in an honest</w:t>
            </w:r>
            <w:r w:rsidR="007E319E" w:rsidRPr="00E57E03">
              <w:rPr>
                <w:rFonts w:cs="Times New Roman"/>
                <w:color w:val="000000" w:themeColor="text1"/>
                <w:sz w:val="22"/>
              </w:rPr>
              <w:t xml:space="preserve"> manner</w:t>
            </w:r>
            <w:r w:rsidRPr="00E57E03">
              <w:rPr>
                <w:rFonts w:cs="Times New Roman"/>
                <w:color w:val="000000" w:themeColor="text1"/>
                <w:sz w:val="22"/>
              </w:rPr>
              <w:t xml:space="preserve">, </w:t>
            </w:r>
            <w:r w:rsidR="005E0DFA" w:rsidRPr="00E57E03">
              <w:rPr>
                <w:rFonts w:cs="Times New Roman"/>
                <w:color w:val="000000" w:themeColor="text1"/>
                <w:sz w:val="22"/>
              </w:rPr>
              <w:t xml:space="preserve">with due care and in the best interests of </w:t>
            </w:r>
            <w:proofErr w:type="spellStart"/>
            <w:r w:rsidRPr="00E57E03">
              <w:rPr>
                <w:rFonts w:cs="Times New Roman"/>
                <w:color w:val="000000" w:themeColor="text1"/>
                <w:sz w:val="22"/>
              </w:rPr>
              <w:t>Petrolimex</w:t>
            </w:r>
            <w:proofErr w:type="spellEnd"/>
            <w:r w:rsidRPr="00E57E03">
              <w:rPr>
                <w:rFonts w:cs="Times New Roman"/>
                <w:color w:val="000000" w:themeColor="text1"/>
                <w:sz w:val="22"/>
              </w:rPr>
              <w:t xml:space="preserve"> if they are elected as members of the Board of Management. The announced information related to the candidate of the Board of Management include:</w:t>
            </w:r>
          </w:p>
          <w:p w14:paraId="45490EF2" w14:textId="77777777"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a) Full name, date of birth;</w:t>
            </w:r>
          </w:p>
          <w:p w14:paraId="1ECF3029" w14:textId="77777777"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b) Professional qualifications;</w:t>
            </w:r>
          </w:p>
          <w:p w14:paraId="0D774AFF" w14:textId="77777777"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c) Employment history;</w:t>
            </w:r>
          </w:p>
          <w:p w14:paraId="3484D1A8" w14:textId="77777777"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d) Other managerial tittles (including the title of the Board of other Companies);</w:t>
            </w:r>
          </w:p>
          <w:p w14:paraId="666BFCA3" w14:textId="77777777" w:rsidR="00653B2D"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dd) Benefits related to Petrolimex and its related parties;</w:t>
            </w:r>
          </w:p>
          <w:p w14:paraId="4E1FBD6B" w14:textId="5B38EDB9" w:rsidR="003010F3" w:rsidRPr="00E57E03" w:rsidRDefault="00653B2D" w:rsidP="00653B2D">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lastRenderedPageBreak/>
              <w:t>e) Other information (if any) as prescribed by Petrolimex.</w:t>
            </w:r>
          </w:p>
        </w:tc>
        <w:tc>
          <w:tcPr>
            <w:tcW w:w="1434" w:type="pct"/>
          </w:tcPr>
          <w:p w14:paraId="7C96B451" w14:textId="77777777" w:rsidR="00653B2D" w:rsidRPr="00E57E03" w:rsidRDefault="00653B2D" w:rsidP="00653B2D">
            <w:pPr>
              <w:widowControl w:val="0"/>
              <w:adjustRightInd w:val="0"/>
              <w:snapToGrid w:val="0"/>
              <w:spacing w:before="60" w:after="60" w:line="276" w:lineRule="auto"/>
              <w:jc w:val="both"/>
              <w:rPr>
                <w:rFonts w:cs="Times New Roman"/>
                <w:b/>
                <w:color w:val="000000" w:themeColor="text1"/>
                <w:sz w:val="22"/>
              </w:rPr>
            </w:pPr>
            <w:r w:rsidRPr="00E57E03">
              <w:rPr>
                <w:rFonts w:cs="Times New Roman"/>
                <w:b/>
                <w:color w:val="000000" w:themeColor="text1"/>
                <w:sz w:val="22"/>
              </w:rPr>
              <w:lastRenderedPageBreak/>
              <w:t>Article 11. Notice on election, removal or dismissal of members of the Board of Management</w:t>
            </w:r>
          </w:p>
          <w:p w14:paraId="3C9089E0" w14:textId="1165EE66" w:rsidR="00653B2D" w:rsidRPr="00E57E03" w:rsidRDefault="00653B2D" w:rsidP="00653B2D">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1. Where the candidates to the Board of Management are identified, the candidate-related information must be disclosed at least 10 days before opening date of the General Meeting of Shareholders on the Petrolimex’s website so that the shareholders may understand such candidates before voting, the candidates to the Board of Management must have a written commitment on honesty and accuracy of disclosed personal information and task fulfillment in an honest</w:t>
            </w:r>
            <w:r w:rsidR="007E319E" w:rsidRPr="00E57E03">
              <w:rPr>
                <w:rFonts w:cs="Times New Roman"/>
                <w:color w:val="000000" w:themeColor="text1"/>
                <w:sz w:val="22"/>
              </w:rPr>
              <w:t xml:space="preserve"> manner</w:t>
            </w:r>
            <w:r w:rsidRPr="00E57E03">
              <w:rPr>
                <w:rFonts w:cs="Times New Roman"/>
                <w:color w:val="000000" w:themeColor="text1"/>
                <w:sz w:val="22"/>
              </w:rPr>
              <w:t xml:space="preserve">, </w:t>
            </w:r>
            <w:r w:rsidR="00DB0423" w:rsidRPr="00E57E03">
              <w:rPr>
                <w:rFonts w:cs="Times New Roman"/>
                <w:color w:val="000000" w:themeColor="text1"/>
                <w:sz w:val="22"/>
              </w:rPr>
              <w:t xml:space="preserve">with due care and in the best interests of </w:t>
            </w:r>
            <w:proofErr w:type="spellStart"/>
            <w:r w:rsidRPr="00E57E03">
              <w:rPr>
                <w:rFonts w:cs="Times New Roman"/>
                <w:color w:val="000000" w:themeColor="text1"/>
                <w:sz w:val="22"/>
              </w:rPr>
              <w:t>Petrolimex</w:t>
            </w:r>
            <w:proofErr w:type="spellEnd"/>
            <w:r w:rsidRPr="00E57E03">
              <w:rPr>
                <w:rFonts w:cs="Times New Roman"/>
                <w:color w:val="000000" w:themeColor="text1"/>
                <w:sz w:val="22"/>
              </w:rPr>
              <w:t xml:space="preserve"> if they are elected as members of the Board of Management. The announced information related to the candidate of the Board of Management include:</w:t>
            </w:r>
          </w:p>
          <w:p w14:paraId="1006395C" w14:textId="77777777" w:rsidR="00653B2D" w:rsidRPr="00E57E03" w:rsidRDefault="00653B2D" w:rsidP="00653B2D">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a) Full name, date of birth;</w:t>
            </w:r>
          </w:p>
          <w:p w14:paraId="59D32FE0" w14:textId="77777777" w:rsidR="00653B2D" w:rsidRPr="00E57E03" w:rsidRDefault="00653B2D" w:rsidP="00653B2D">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b) Professional qualifications;</w:t>
            </w:r>
          </w:p>
          <w:p w14:paraId="15E079B9" w14:textId="77777777" w:rsidR="00653B2D" w:rsidRPr="00E57E03" w:rsidRDefault="00653B2D" w:rsidP="00653B2D">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c) Employment history;</w:t>
            </w:r>
          </w:p>
          <w:p w14:paraId="5FAA5D69" w14:textId="77777777" w:rsidR="00653B2D" w:rsidRPr="00E57E03" w:rsidRDefault="00653B2D" w:rsidP="00653B2D">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d) Other managerial tittles (including the title of the Board of other Companies);</w:t>
            </w:r>
          </w:p>
          <w:p w14:paraId="25CE6F9F" w14:textId="77777777" w:rsidR="00653B2D" w:rsidRPr="00E57E03" w:rsidRDefault="00653B2D" w:rsidP="00653B2D">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dd) Benefits related to Petrolimex and its related parties;</w:t>
            </w:r>
          </w:p>
          <w:p w14:paraId="73A38104" w14:textId="54929F9B" w:rsidR="00653B2D" w:rsidRPr="00E57E03" w:rsidRDefault="00653B2D" w:rsidP="00653B2D">
            <w:pPr>
              <w:widowControl w:val="0"/>
              <w:adjustRightInd w:val="0"/>
              <w:snapToGrid w:val="0"/>
              <w:spacing w:before="60" w:after="60" w:line="276" w:lineRule="auto"/>
              <w:jc w:val="both"/>
              <w:rPr>
                <w:rFonts w:cs="Times New Roman"/>
                <w:b/>
                <w:color w:val="000000" w:themeColor="text1"/>
                <w:sz w:val="22"/>
              </w:rPr>
            </w:pPr>
            <w:r w:rsidRPr="00E57E03">
              <w:rPr>
                <w:rFonts w:cs="Times New Roman"/>
                <w:color w:val="000000" w:themeColor="text1"/>
                <w:sz w:val="22"/>
              </w:rPr>
              <w:t xml:space="preserve">e) Other information (if any) as </w:t>
            </w:r>
            <w:r w:rsidRPr="00E57E03">
              <w:rPr>
                <w:rFonts w:cs="Times New Roman"/>
                <w:color w:val="000000" w:themeColor="text1"/>
                <w:sz w:val="22"/>
              </w:rPr>
              <w:lastRenderedPageBreak/>
              <w:t>prescribed by Petrolimex Charter;</w:t>
            </w:r>
          </w:p>
          <w:p w14:paraId="32B27DC6" w14:textId="74B2C08B" w:rsidR="003010F3" w:rsidRPr="00E57E03" w:rsidRDefault="00653B2D" w:rsidP="003010F3">
            <w:pPr>
              <w:widowControl w:val="0"/>
              <w:adjustRightInd w:val="0"/>
              <w:snapToGrid w:val="0"/>
              <w:spacing w:before="60" w:after="60" w:line="276" w:lineRule="auto"/>
              <w:jc w:val="both"/>
              <w:rPr>
                <w:rFonts w:cs="Times New Roman"/>
                <w:bCs/>
                <w:i/>
                <w:iCs/>
                <w:color w:val="000000" w:themeColor="text1"/>
                <w:sz w:val="22"/>
                <w:u w:val="single"/>
              </w:rPr>
            </w:pPr>
            <w:r w:rsidRPr="00E57E03">
              <w:rPr>
                <w:rFonts w:cs="Times New Roman"/>
                <w:color w:val="000000" w:themeColor="text1"/>
                <w:sz w:val="22"/>
                <w:u w:val="single"/>
              </w:rPr>
              <w:t>g) Petrolimex must announce the information about the companies that are held by the candidates holding the member of Board of Management, other managerial titles and benefits related to the Company of the candidate (if any).</w:t>
            </w:r>
          </w:p>
        </w:tc>
        <w:tc>
          <w:tcPr>
            <w:tcW w:w="1272" w:type="pct"/>
          </w:tcPr>
          <w:p w14:paraId="048FEED9" w14:textId="0628ECB4" w:rsidR="003010F3" w:rsidRPr="00E57E03" w:rsidRDefault="003010F3" w:rsidP="003010F3">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lastRenderedPageBreak/>
              <w:t>Add point g to comply with the Regulation Form (Article 10, Clause 1, point g) and information disclosure obligations.</w:t>
            </w:r>
          </w:p>
        </w:tc>
      </w:tr>
      <w:tr w:rsidR="000A21A8" w:rsidRPr="00E57E03" w14:paraId="1E154936" w14:textId="77777777" w:rsidTr="0024588C">
        <w:trPr>
          <w:trHeight w:val="20"/>
        </w:trPr>
        <w:tc>
          <w:tcPr>
            <w:tcW w:w="261" w:type="pct"/>
          </w:tcPr>
          <w:p w14:paraId="04F44A9A" w14:textId="77777777" w:rsidR="000A21A8" w:rsidRPr="00E57E03" w:rsidRDefault="000A21A8" w:rsidP="000A21A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2ADEB33D" w14:textId="1952EB7B" w:rsidR="000A21A8" w:rsidRPr="00E57E03" w:rsidRDefault="000A21A8" w:rsidP="000A21A8">
            <w:pPr>
              <w:widowControl w:val="0"/>
              <w:adjustRightInd w:val="0"/>
              <w:snapToGrid w:val="0"/>
              <w:spacing w:before="60" w:after="60"/>
              <w:jc w:val="both"/>
              <w:rPr>
                <w:rFonts w:cs="Times New Roman"/>
                <w:sz w:val="22"/>
              </w:rPr>
            </w:pPr>
            <w:r w:rsidRPr="00E57E03">
              <w:rPr>
                <w:rFonts w:cs="Times New Roman"/>
                <w:color w:val="000000" w:themeColor="text1"/>
                <w:sz w:val="22"/>
              </w:rPr>
              <w:t>Article 11, Clause 2</w:t>
            </w:r>
          </w:p>
        </w:tc>
        <w:tc>
          <w:tcPr>
            <w:tcW w:w="1416" w:type="pct"/>
          </w:tcPr>
          <w:p w14:paraId="3C8EF4F7" w14:textId="1D208030" w:rsidR="000A21A8" w:rsidRPr="00E57E03" w:rsidRDefault="000A21A8" w:rsidP="000A21A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2. Notice on results of electing, removing or discharging members of the Board of Management is complied with the regulations on guiding the news disclosures.</w:t>
            </w:r>
          </w:p>
        </w:tc>
        <w:tc>
          <w:tcPr>
            <w:tcW w:w="1434" w:type="pct"/>
          </w:tcPr>
          <w:p w14:paraId="53587E59" w14:textId="02E27540" w:rsidR="000A21A8" w:rsidRPr="00E57E03" w:rsidRDefault="000A21A8" w:rsidP="000A21A8">
            <w:pPr>
              <w:widowControl w:val="0"/>
              <w:adjustRightInd w:val="0"/>
              <w:snapToGrid w:val="0"/>
              <w:spacing w:before="60" w:after="60"/>
              <w:jc w:val="both"/>
              <w:rPr>
                <w:rFonts w:cs="Times New Roman"/>
                <w:b/>
                <w:color w:val="000000" w:themeColor="text1"/>
                <w:sz w:val="22"/>
              </w:rPr>
            </w:pPr>
            <w:r w:rsidRPr="00E57E03">
              <w:rPr>
                <w:rFonts w:cs="Times New Roman"/>
                <w:color w:val="000000" w:themeColor="text1"/>
                <w:sz w:val="22"/>
              </w:rPr>
              <w:t xml:space="preserve">2. </w:t>
            </w:r>
            <w:r w:rsidRPr="00E57E03">
              <w:rPr>
                <w:rFonts w:cs="Times New Roman"/>
                <w:color w:val="000000" w:themeColor="text1"/>
                <w:sz w:val="22"/>
                <w:u w:val="single"/>
              </w:rPr>
              <w:t>Within 24 hours since the General Meeting of Shareholders agrees to approve the results of electing, removing or discharging members of the Board of Management, Petrolimex is obligated to provide disclosures under the legal regulations on disclosure in the Stock Market.</w:t>
            </w:r>
          </w:p>
        </w:tc>
        <w:tc>
          <w:tcPr>
            <w:tcW w:w="1272" w:type="pct"/>
          </w:tcPr>
          <w:p w14:paraId="44B8DA7D" w14:textId="7ACDB1B7" w:rsidR="000A21A8" w:rsidRPr="00E57E03" w:rsidRDefault="000A21A8" w:rsidP="000A21A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Amend consistently with the 2026 Draft Charter (Article 26, clause 8) and move the contents from Article 6, clause 8 of the Regulation 219.</w:t>
            </w:r>
          </w:p>
          <w:p w14:paraId="04F3F547" w14:textId="77777777" w:rsidR="000A21A8" w:rsidRPr="00E57E03" w:rsidRDefault="000A21A8" w:rsidP="000A21A8">
            <w:pPr>
              <w:widowControl w:val="0"/>
              <w:adjustRightInd w:val="0"/>
              <w:snapToGrid w:val="0"/>
              <w:spacing w:before="60" w:after="60"/>
              <w:jc w:val="both"/>
              <w:rPr>
                <w:rFonts w:cs="Times New Roman"/>
                <w:color w:val="000000" w:themeColor="text1"/>
                <w:sz w:val="22"/>
              </w:rPr>
            </w:pPr>
          </w:p>
        </w:tc>
      </w:tr>
      <w:tr w:rsidR="002610DB" w:rsidRPr="00E57E03" w14:paraId="0D93EC12" w14:textId="77777777" w:rsidTr="0024588C">
        <w:trPr>
          <w:trHeight w:val="20"/>
        </w:trPr>
        <w:tc>
          <w:tcPr>
            <w:tcW w:w="261" w:type="pct"/>
          </w:tcPr>
          <w:p w14:paraId="2960BC0A" w14:textId="77777777" w:rsidR="002610DB" w:rsidRPr="00E57E03" w:rsidRDefault="002610DB" w:rsidP="000A21A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F1A91E9" w14:textId="4961590D" w:rsidR="002610DB" w:rsidRPr="00E57E03" w:rsidRDefault="002610DB" w:rsidP="000A21A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Article 12, Clause 2, point e</w:t>
            </w:r>
          </w:p>
        </w:tc>
        <w:tc>
          <w:tcPr>
            <w:tcW w:w="1416" w:type="pct"/>
          </w:tcPr>
          <w:p w14:paraId="395CA662" w14:textId="7A767162" w:rsidR="002610DB" w:rsidRPr="00E57E03" w:rsidRDefault="0029188B" w:rsidP="000A21A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e) Approve the investment plan and investment project within the authority and limitation as prescribed by the laws;</w:t>
            </w:r>
          </w:p>
        </w:tc>
        <w:tc>
          <w:tcPr>
            <w:tcW w:w="1434" w:type="pct"/>
          </w:tcPr>
          <w:p w14:paraId="3267D87E" w14:textId="2F8452BC" w:rsidR="002610DB" w:rsidRPr="00E57E03" w:rsidRDefault="00C6338D" w:rsidP="000A21A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e) Approve investments in each investment projects and items </w:t>
            </w:r>
            <w:r w:rsidRPr="00E57E03">
              <w:rPr>
                <w:rFonts w:cs="Times New Roman"/>
                <w:color w:val="000000" w:themeColor="text1"/>
                <w:sz w:val="22"/>
                <w:u w:val="single"/>
              </w:rPr>
              <w:t>with a value not exceeding 50% of equity, or 50% of the owner’s investment capital where equity is lower than the owner’s investment capital, but not exceeding the cap prescribed by the Decree No. 366/2025/N</w:t>
            </w:r>
            <w:r w:rsidR="006F6ADF" w:rsidRPr="00E57E03">
              <w:rPr>
                <w:rFonts w:cs="Times New Roman"/>
                <w:color w:val="000000" w:themeColor="text1"/>
                <w:sz w:val="22"/>
                <w:u w:val="single"/>
              </w:rPr>
              <w:t>D</w:t>
            </w:r>
            <w:r w:rsidRPr="00E57E03">
              <w:rPr>
                <w:rFonts w:cs="Times New Roman"/>
                <w:color w:val="000000" w:themeColor="text1"/>
                <w:sz w:val="22"/>
                <w:u w:val="single"/>
              </w:rPr>
              <w:t>-CP (VND 5,000 billion). Equity and the owner’s investment capital described at this point shall be determined in accordance with Petrolimex’s most recent standalone quarterly or annual financial statements at the time of the investment decision;</w:t>
            </w:r>
          </w:p>
        </w:tc>
        <w:tc>
          <w:tcPr>
            <w:tcW w:w="1272" w:type="pct"/>
          </w:tcPr>
          <w:p w14:paraId="54E919E9" w14:textId="2B56E943" w:rsidR="002610DB" w:rsidRPr="00E57E03" w:rsidRDefault="0029188B" w:rsidP="000A21A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Amend to comply with Article 27, Clause 2, point e of the 2026 Draft Charter.</w:t>
            </w:r>
          </w:p>
        </w:tc>
      </w:tr>
      <w:tr w:rsidR="002610DB" w:rsidRPr="00E57E03" w14:paraId="56FD11E5" w14:textId="77777777" w:rsidTr="0024588C">
        <w:trPr>
          <w:trHeight w:val="20"/>
        </w:trPr>
        <w:tc>
          <w:tcPr>
            <w:tcW w:w="261" w:type="pct"/>
          </w:tcPr>
          <w:p w14:paraId="32B11E29" w14:textId="77777777" w:rsidR="002610DB" w:rsidRPr="00E57E03" w:rsidRDefault="002610DB" w:rsidP="000A21A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4FDEE854" w14:textId="4027BD94" w:rsidR="002610DB" w:rsidRPr="00E57E03" w:rsidRDefault="002610DB" w:rsidP="000A21A8">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Article 12, Clause 2</w:t>
            </w:r>
          </w:p>
        </w:tc>
        <w:tc>
          <w:tcPr>
            <w:tcW w:w="1416" w:type="pct"/>
          </w:tcPr>
          <w:p w14:paraId="3583CBC3" w14:textId="025B6156" w:rsidR="002610DB" w:rsidRPr="00E57E03" w:rsidRDefault="00DD36A3" w:rsidP="000A21A8">
            <w:pPr>
              <w:widowControl w:val="0"/>
              <w:adjustRightInd w:val="0"/>
              <w:snapToGrid w:val="0"/>
              <w:spacing w:before="60" w:after="60"/>
              <w:jc w:val="both"/>
              <w:rPr>
                <w:rFonts w:cs="Times New Roman"/>
                <w:bCs/>
                <w:i/>
                <w:iCs/>
                <w:color w:val="000000" w:themeColor="text1"/>
                <w:sz w:val="22"/>
              </w:rPr>
            </w:pPr>
            <w:r w:rsidRPr="00E57E03">
              <w:rPr>
                <w:rFonts w:cs="Times New Roman"/>
                <w:i/>
                <w:color w:val="000000" w:themeColor="text1"/>
                <w:sz w:val="22"/>
              </w:rPr>
              <w:t>Not specified</w:t>
            </w:r>
          </w:p>
        </w:tc>
        <w:tc>
          <w:tcPr>
            <w:tcW w:w="1434" w:type="pct"/>
          </w:tcPr>
          <w:p w14:paraId="1C2CCB3D" w14:textId="3B3AB82F" w:rsidR="002610DB" w:rsidRPr="00E57E03" w:rsidRDefault="009F0E83" w:rsidP="000A21A8">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u w:val="single"/>
              </w:rPr>
              <w:t xml:space="preserve">g) Approve the acquisition, finance lease, and disposal of fixed assets with a value not exceeding 50% of equity, or 50% of the owner’s investment capital </w:t>
            </w:r>
            <w:r w:rsidRPr="00E57E03">
              <w:rPr>
                <w:rFonts w:cs="Times New Roman"/>
                <w:color w:val="000000" w:themeColor="text1"/>
                <w:sz w:val="22"/>
                <w:u w:val="single"/>
              </w:rPr>
              <w:lastRenderedPageBreak/>
              <w:t>where equity is lower than the owner’s investment capital, but not exceeding the cap prescribed by the Decree No. 366/2025/N</w:t>
            </w:r>
            <w:r w:rsidR="006F6ADF" w:rsidRPr="00E57E03">
              <w:rPr>
                <w:rFonts w:cs="Times New Roman"/>
                <w:color w:val="000000" w:themeColor="text1"/>
                <w:sz w:val="22"/>
                <w:u w:val="single"/>
              </w:rPr>
              <w:t>D</w:t>
            </w:r>
            <w:r w:rsidRPr="00E57E03">
              <w:rPr>
                <w:rFonts w:cs="Times New Roman"/>
                <w:color w:val="000000" w:themeColor="text1"/>
                <w:sz w:val="22"/>
                <w:u w:val="single"/>
              </w:rPr>
              <w:t>-CP (VND 5,000 billion). Equity and the owner’s investment capital described at this point shall be determined in accordance with Petrolimex’s most recent standalone quarterly or annual financial statements at the time of the disposal decision. Asset value is determined in accordance with acquisition or finance lease value for acquisitions/leases of fixed assets or remaining value in accordance with the book value for disposals of fixed assets;</w:t>
            </w:r>
          </w:p>
        </w:tc>
        <w:tc>
          <w:tcPr>
            <w:tcW w:w="1272" w:type="pct"/>
          </w:tcPr>
          <w:p w14:paraId="7D7D9D00" w14:textId="79084873" w:rsidR="002610DB" w:rsidRPr="00E57E03" w:rsidRDefault="006A3D48" w:rsidP="000A21A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Supplement to comply with Article 27, Clause 2, point g of the 2026 Draft Charter.</w:t>
            </w:r>
          </w:p>
        </w:tc>
      </w:tr>
      <w:tr w:rsidR="002610DB" w:rsidRPr="00E57E03" w14:paraId="4BF37BF4" w14:textId="77777777" w:rsidTr="0024588C">
        <w:trPr>
          <w:trHeight w:val="20"/>
        </w:trPr>
        <w:tc>
          <w:tcPr>
            <w:tcW w:w="261" w:type="pct"/>
          </w:tcPr>
          <w:p w14:paraId="07D48327" w14:textId="77777777" w:rsidR="002610DB" w:rsidRPr="00E57E03" w:rsidRDefault="002610DB" w:rsidP="000A21A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EB815E8" w14:textId="4DD05EF5" w:rsidR="002610DB" w:rsidRPr="00E57E03" w:rsidRDefault="002610DB" w:rsidP="000A21A8">
            <w:pPr>
              <w:widowControl w:val="0"/>
              <w:adjustRightInd w:val="0"/>
              <w:snapToGrid w:val="0"/>
              <w:spacing w:before="60" w:after="60"/>
              <w:jc w:val="both"/>
              <w:rPr>
                <w:rFonts w:cs="Times New Roman"/>
                <w:color w:val="000000" w:themeColor="text1"/>
                <w:sz w:val="22"/>
              </w:rPr>
            </w:pPr>
            <w:r w:rsidRPr="004E539E">
              <w:rPr>
                <w:rFonts w:cs="Times New Roman"/>
                <w:color w:val="000000" w:themeColor="text1"/>
                <w:sz w:val="22"/>
              </w:rPr>
              <w:t>Article 12, Clause 2</w:t>
            </w:r>
          </w:p>
        </w:tc>
        <w:tc>
          <w:tcPr>
            <w:tcW w:w="1416" w:type="pct"/>
          </w:tcPr>
          <w:p w14:paraId="772D5297" w14:textId="4E9226DA" w:rsidR="002610DB" w:rsidRPr="00E57E03" w:rsidRDefault="00DD36A3" w:rsidP="000A21A8">
            <w:pPr>
              <w:widowControl w:val="0"/>
              <w:adjustRightInd w:val="0"/>
              <w:snapToGrid w:val="0"/>
              <w:spacing w:before="60" w:after="60"/>
              <w:jc w:val="both"/>
              <w:rPr>
                <w:rFonts w:cs="Times New Roman"/>
                <w:bCs/>
                <w:i/>
                <w:iCs/>
                <w:color w:val="000000" w:themeColor="text1"/>
                <w:sz w:val="22"/>
              </w:rPr>
            </w:pPr>
            <w:r w:rsidRPr="00E57E03">
              <w:rPr>
                <w:rFonts w:cs="Times New Roman"/>
                <w:i/>
                <w:color w:val="000000" w:themeColor="text1"/>
                <w:sz w:val="22"/>
              </w:rPr>
              <w:t>Not specified</w:t>
            </w:r>
          </w:p>
        </w:tc>
        <w:tc>
          <w:tcPr>
            <w:tcW w:w="1434" w:type="pct"/>
          </w:tcPr>
          <w:p w14:paraId="20C65C60" w14:textId="06CA15FB" w:rsidR="002610DB" w:rsidRPr="00E57E03" w:rsidRDefault="007023A8" w:rsidP="000A21A8">
            <w:pPr>
              <w:widowControl w:val="0"/>
              <w:adjustRightInd w:val="0"/>
              <w:snapToGrid w:val="0"/>
              <w:spacing w:before="60" w:after="60"/>
              <w:jc w:val="both"/>
              <w:rPr>
                <w:rFonts w:cs="Times New Roman"/>
                <w:bCs/>
                <w:color w:val="000000" w:themeColor="text1"/>
                <w:sz w:val="22"/>
                <w:u w:val="single"/>
              </w:rPr>
            </w:pPr>
            <w:r w:rsidRPr="00E57E03">
              <w:rPr>
                <w:rFonts w:cs="Times New Roman"/>
                <w:color w:val="000000" w:themeColor="text1"/>
                <w:sz w:val="22"/>
                <w:u w:val="single"/>
              </w:rPr>
              <w:t>h) Decide the transfer of investment projects or capital with a value not exceeding 50% of equity, or 50% of the owner’s investment capital where equity is lower than the owner’s investment capital. Equity and the owner’s investment capital shall be determined in accordance with Petrolimex’s most recent standalone quarterly or annual financial statements at the time of the transfer decision. The investment capital value shall be the higher of its book value and the expected transfer price to be obtained in accordance with Clause 4, Article 26 of the Decree No. 366/2025/N</w:t>
            </w:r>
            <w:r w:rsidR="006F6ADF" w:rsidRPr="00E57E03">
              <w:rPr>
                <w:rFonts w:cs="Times New Roman"/>
                <w:color w:val="000000" w:themeColor="text1"/>
                <w:sz w:val="22"/>
                <w:u w:val="single"/>
              </w:rPr>
              <w:t>D</w:t>
            </w:r>
            <w:r w:rsidRPr="00E57E03">
              <w:rPr>
                <w:rFonts w:cs="Times New Roman"/>
                <w:color w:val="000000" w:themeColor="text1"/>
                <w:sz w:val="22"/>
                <w:u w:val="single"/>
              </w:rPr>
              <w:t>-CP;</w:t>
            </w:r>
          </w:p>
        </w:tc>
        <w:tc>
          <w:tcPr>
            <w:tcW w:w="1272" w:type="pct"/>
          </w:tcPr>
          <w:p w14:paraId="74D2898A" w14:textId="784349EA" w:rsidR="002610DB" w:rsidRPr="00E57E03" w:rsidRDefault="000C692F" w:rsidP="000A21A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Supplement to comply with Article 27, Clause 2, point h of the 2026 Draft Charter.</w:t>
            </w:r>
          </w:p>
        </w:tc>
      </w:tr>
      <w:tr w:rsidR="008F4E68" w:rsidRPr="00E57E03" w14:paraId="550CD245" w14:textId="77777777" w:rsidTr="0024588C">
        <w:trPr>
          <w:trHeight w:val="20"/>
        </w:trPr>
        <w:tc>
          <w:tcPr>
            <w:tcW w:w="261" w:type="pct"/>
          </w:tcPr>
          <w:p w14:paraId="12111454" w14:textId="77777777" w:rsidR="008F4E68" w:rsidRPr="00E57E03" w:rsidRDefault="008F4E68"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344586B9" w14:textId="67835EBC" w:rsidR="008F4E68" w:rsidRPr="00E57E03" w:rsidRDefault="008F4E68" w:rsidP="003010F3">
            <w:pPr>
              <w:widowControl w:val="0"/>
              <w:adjustRightInd w:val="0"/>
              <w:snapToGrid w:val="0"/>
              <w:spacing w:before="60" w:after="60"/>
              <w:jc w:val="both"/>
              <w:rPr>
                <w:rFonts w:cs="Times New Roman"/>
                <w:sz w:val="22"/>
              </w:rPr>
            </w:pPr>
            <w:r w:rsidRPr="004E539E">
              <w:rPr>
                <w:rFonts w:cs="Times New Roman"/>
                <w:sz w:val="22"/>
              </w:rPr>
              <w:t xml:space="preserve">Article 12, Clause </w:t>
            </w:r>
            <w:r w:rsidRPr="00E57E03">
              <w:rPr>
                <w:rFonts w:cs="Times New Roman"/>
                <w:sz w:val="22"/>
              </w:rPr>
              <w:t>2, point h</w:t>
            </w:r>
          </w:p>
        </w:tc>
        <w:tc>
          <w:tcPr>
            <w:tcW w:w="1416" w:type="pct"/>
          </w:tcPr>
          <w:p w14:paraId="52A38D13" w14:textId="77777777" w:rsidR="004F2CBF" w:rsidRPr="00E57E03" w:rsidRDefault="004F2CBF" w:rsidP="004F2CB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12. Rights and obligations of the Board of Management</w:t>
            </w:r>
          </w:p>
          <w:p w14:paraId="433FDF5E" w14:textId="77777777" w:rsidR="008F4E68" w:rsidRPr="00E57E03" w:rsidRDefault="003E5C59" w:rsidP="00653B2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2. The rights and obligations of the Board of Management shall be governed </w:t>
            </w:r>
            <w:r w:rsidRPr="00E57E03">
              <w:rPr>
                <w:rFonts w:cs="Times New Roman"/>
                <w:color w:val="000000" w:themeColor="text1"/>
                <w:sz w:val="22"/>
              </w:rPr>
              <w:lastRenderedPageBreak/>
              <w:t>by the law, Petrolimex Charter and the decisions of the General Meeting of Shareholders. Specially, the Board of Management shall have the following powers and duties:</w:t>
            </w:r>
          </w:p>
          <w:p w14:paraId="6A4E477D" w14:textId="1ED186EB" w:rsidR="003E5C59" w:rsidRPr="00E57E03" w:rsidRDefault="00E273D3" w:rsidP="00653B2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h) Approve the sales contract, loan contract and other contracts and transactions having value from 35% of total asset value recorded in the latest financial statements of Petrolimex, and contracts and transaction under the authority of the General Meeting of Shareholders as prescribed at point d, clause 2, Article 138, clauses 1 &amp; 3, Article 167 of the Law on Enterprises;</w:t>
            </w:r>
          </w:p>
        </w:tc>
        <w:tc>
          <w:tcPr>
            <w:tcW w:w="1434" w:type="pct"/>
          </w:tcPr>
          <w:p w14:paraId="58196FE8" w14:textId="48778DF8" w:rsidR="008F4E68" w:rsidRPr="00E57E03" w:rsidRDefault="004A1725" w:rsidP="008952F9">
            <w:pPr>
              <w:widowControl w:val="0"/>
              <w:tabs>
                <w:tab w:val="left" w:pos="1240"/>
              </w:tabs>
              <w:adjustRightInd w:val="0"/>
              <w:snapToGrid w:val="0"/>
              <w:spacing w:before="60" w:after="60"/>
              <w:jc w:val="both"/>
              <w:rPr>
                <w:rFonts w:cs="Times New Roman"/>
                <w:b/>
                <w:color w:val="000000" w:themeColor="text1"/>
                <w:sz w:val="22"/>
              </w:rPr>
            </w:pPr>
            <w:r w:rsidRPr="00E57E03">
              <w:rPr>
                <w:rFonts w:cs="Times New Roman"/>
                <w:color w:val="000000" w:themeColor="text1"/>
                <w:sz w:val="22"/>
              </w:rPr>
              <w:lastRenderedPageBreak/>
              <w:t xml:space="preserve">k) Approve the sales contract, loan contract and other contracts and transactions having value from 35% of total asset value recorded in the latest </w:t>
            </w:r>
            <w:r w:rsidRPr="00E57E03">
              <w:rPr>
                <w:rFonts w:cs="Times New Roman"/>
                <w:color w:val="000000" w:themeColor="text1"/>
                <w:sz w:val="22"/>
              </w:rPr>
              <w:lastRenderedPageBreak/>
              <w:t xml:space="preserve">financial statements of Petrolimex, </w:t>
            </w:r>
            <w:r w:rsidRPr="00E57E03">
              <w:rPr>
                <w:rFonts w:cs="Times New Roman"/>
                <w:color w:val="000000" w:themeColor="text1"/>
                <w:sz w:val="22"/>
                <w:u w:val="single"/>
              </w:rPr>
              <w:t>excluding</w:t>
            </w:r>
            <w:r w:rsidRPr="00E57E03">
              <w:rPr>
                <w:rFonts w:cs="Times New Roman"/>
                <w:color w:val="000000" w:themeColor="text1"/>
                <w:sz w:val="22"/>
              </w:rPr>
              <w:t xml:space="preserve"> contracts, and transaction under the authority of the General Meeting of Shareholders as prescribed at </w:t>
            </w:r>
            <w:r w:rsidRPr="00E57E03">
              <w:rPr>
                <w:rFonts w:cs="Times New Roman"/>
                <w:color w:val="000000" w:themeColor="text1"/>
                <w:sz w:val="22"/>
                <w:u w:val="single"/>
              </w:rPr>
              <w:t>Petrolimex Charter</w:t>
            </w:r>
            <w:r w:rsidRPr="00E57E03">
              <w:rPr>
                <w:rFonts w:cs="Times New Roman"/>
                <w:color w:val="000000" w:themeColor="text1"/>
                <w:sz w:val="22"/>
              </w:rPr>
              <w:t>, clauses 1 &amp; 3, Article 167 of the Law on Enterprises;</w:t>
            </w:r>
          </w:p>
        </w:tc>
        <w:tc>
          <w:tcPr>
            <w:tcW w:w="1272" w:type="pct"/>
          </w:tcPr>
          <w:p w14:paraId="62E70DE4" w14:textId="2D8E3597" w:rsidR="008F4E68" w:rsidRPr="00E57E03" w:rsidRDefault="008D02BA"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Amend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27, Clause 2, point k of the 2026 Draft Charter.</w:t>
            </w:r>
          </w:p>
        </w:tc>
      </w:tr>
      <w:tr w:rsidR="00766880" w:rsidRPr="00E57E03" w14:paraId="19D95723" w14:textId="77777777" w:rsidTr="0024588C">
        <w:trPr>
          <w:trHeight w:val="20"/>
        </w:trPr>
        <w:tc>
          <w:tcPr>
            <w:tcW w:w="261" w:type="pct"/>
          </w:tcPr>
          <w:p w14:paraId="1F3DAADF" w14:textId="77777777" w:rsidR="00766880" w:rsidRPr="00E57E03" w:rsidRDefault="00766880"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BD0FE03" w14:textId="10823FBF" w:rsidR="00766880" w:rsidRPr="00E57E03" w:rsidRDefault="0053168C" w:rsidP="003010F3">
            <w:pPr>
              <w:widowControl w:val="0"/>
              <w:adjustRightInd w:val="0"/>
              <w:snapToGrid w:val="0"/>
              <w:spacing w:before="60" w:after="60"/>
              <w:jc w:val="both"/>
              <w:rPr>
                <w:rFonts w:cs="Times New Roman"/>
                <w:sz w:val="22"/>
              </w:rPr>
            </w:pPr>
            <w:r w:rsidRPr="00E57E03">
              <w:rPr>
                <w:rFonts w:cs="Times New Roman"/>
                <w:sz w:val="22"/>
              </w:rPr>
              <w:t>Article 12, Clause 2, point p</w:t>
            </w:r>
          </w:p>
        </w:tc>
        <w:tc>
          <w:tcPr>
            <w:tcW w:w="1416" w:type="pct"/>
          </w:tcPr>
          <w:p w14:paraId="15FE530A" w14:textId="77777777" w:rsidR="00766880" w:rsidRPr="00E57E03" w:rsidRDefault="0014387E" w:rsidP="00653B2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12. Rights and obligations of the Board of Management</w:t>
            </w:r>
          </w:p>
          <w:p w14:paraId="7DADBBF5" w14:textId="77777777" w:rsidR="00593A5F" w:rsidRPr="00E57E03" w:rsidRDefault="00593A5F" w:rsidP="00593A5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2. The rights and obligations of the Board of Management shall be governed by the law, Petrolimex Charter and the decisions of the General Meeting of Shareholders. Specially, the Board of Management shall have the following powers and duties:</w:t>
            </w:r>
          </w:p>
          <w:p w14:paraId="3BAD7A21" w14:textId="28784923" w:rsidR="00896857" w:rsidRPr="00E57E03" w:rsidRDefault="00896857" w:rsidP="00653B2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p) Recommend Petrolimex reorganization, dissolution and requirements on bankruptcy;</w:t>
            </w:r>
          </w:p>
        </w:tc>
        <w:tc>
          <w:tcPr>
            <w:tcW w:w="1434" w:type="pct"/>
          </w:tcPr>
          <w:p w14:paraId="093310F1" w14:textId="19CD41EC" w:rsidR="00766880" w:rsidRPr="00E57E03" w:rsidRDefault="009C6340" w:rsidP="007D79D2">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r) Recommend Petrolimex reorganization and dissolution; req</w:t>
            </w:r>
            <w:r w:rsidR="007D79D2" w:rsidRPr="00E57E03">
              <w:rPr>
                <w:rFonts w:cs="Times New Roman"/>
                <w:color w:val="000000" w:themeColor="text1"/>
                <w:sz w:val="22"/>
              </w:rPr>
              <w:t xml:space="preserve">uest the </w:t>
            </w:r>
            <w:r w:rsidRPr="00E57E03">
              <w:rPr>
                <w:rFonts w:cs="Times New Roman"/>
                <w:color w:val="000000" w:themeColor="text1"/>
                <w:sz w:val="22"/>
              </w:rPr>
              <w:t xml:space="preserve">application of </w:t>
            </w:r>
            <w:r w:rsidRPr="00E57E03">
              <w:rPr>
                <w:rFonts w:cs="Times New Roman"/>
                <w:color w:val="000000" w:themeColor="text1"/>
                <w:sz w:val="22"/>
                <w:u w:val="single"/>
              </w:rPr>
              <w:t>recovery procedures as prescribed by the law on recovery and bankruptcy;</w:t>
            </w:r>
          </w:p>
        </w:tc>
        <w:tc>
          <w:tcPr>
            <w:tcW w:w="1272" w:type="pct"/>
          </w:tcPr>
          <w:p w14:paraId="071DB5EF" w14:textId="07DB4E3F" w:rsidR="00766880" w:rsidRPr="00E57E03" w:rsidRDefault="00681B28"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Amend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27, Clause 2, point r of the 2026 Draft Charter.</w:t>
            </w:r>
          </w:p>
        </w:tc>
      </w:tr>
      <w:tr w:rsidR="00696192" w:rsidRPr="00E57E03" w14:paraId="6225A3CF" w14:textId="77777777" w:rsidTr="0024588C">
        <w:trPr>
          <w:trHeight w:val="20"/>
        </w:trPr>
        <w:tc>
          <w:tcPr>
            <w:tcW w:w="261" w:type="pct"/>
          </w:tcPr>
          <w:p w14:paraId="632502C6" w14:textId="77777777" w:rsidR="00696192" w:rsidRPr="00E57E03" w:rsidRDefault="00696192"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DE85CEB" w14:textId="0D24F5A5" w:rsidR="00696192" w:rsidRPr="00E57E03" w:rsidRDefault="00696192" w:rsidP="003010F3">
            <w:pPr>
              <w:widowControl w:val="0"/>
              <w:adjustRightInd w:val="0"/>
              <w:snapToGrid w:val="0"/>
              <w:spacing w:before="60" w:after="60"/>
              <w:jc w:val="both"/>
              <w:rPr>
                <w:rFonts w:cs="Times New Roman"/>
                <w:sz w:val="22"/>
              </w:rPr>
            </w:pPr>
            <w:r w:rsidRPr="00E57E03">
              <w:rPr>
                <w:rFonts w:cs="Times New Roman"/>
                <w:sz w:val="22"/>
              </w:rPr>
              <w:t>Article 12, Clause 2, point q</w:t>
            </w:r>
          </w:p>
        </w:tc>
        <w:tc>
          <w:tcPr>
            <w:tcW w:w="1416" w:type="pct"/>
          </w:tcPr>
          <w:p w14:paraId="1D4D8752" w14:textId="77777777" w:rsidR="00696192" w:rsidRPr="00E57E03" w:rsidRDefault="00696192" w:rsidP="00696192">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12. Rights and obligations of the Board of Management</w:t>
            </w:r>
          </w:p>
          <w:p w14:paraId="424D220A" w14:textId="77777777" w:rsidR="00696192" w:rsidRPr="00E57E03" w:rsidRDefault="00696192" w:rsidP="00696192">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2. The rights and obligations of the Board of Management shall be governed by the law, Petrolimex Charter and the decisions of the General Meeting of Shareholders. Specially, the Board of </w:t>
            </w:r>
            <w:r w:rsidRPr="00E57E03">
              <w:rPr>
                <w:rFonts w:cs="Times New Roman"/>
                <w:color w:val="000000" w:themeColor="text1"/>
                <w:sz w:val="22"/>
              </w:rPr>
              <w:lastRenderedPageBreak/>
              <w:t>Management shall have the following powers and duties:</w:t>
            </w:r>
          </w:p>
          <w:p w14:paraId="764167ED" w14:textId="7266BEB1" w:rsidR="00696192" w:rsidRPr="00E57E03" w:rsidRDefault="00696192" w:rsidP="002D01B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q) Decide to promulgate the Operating Regulations of the Board of Management, the Internal Regulations on Petrolimex Corporate Governance after it is adopted by the General Meeting of Shareholders; the </w:t>
            </w:r>
            <w:r w:rsidR="002D01B4" w:rsidRPr="00E57E03">
              <w:rPr>
                <w:rFonts w:cs="Times New Roman"/>
                <w:color w:val="000000" w:themeColor="text1"/>
                <w:sz w:val="22"/>
              </w:rPr>
              <w:t xml:space="preserve">Information Disclosure </w:t>
            </w:r>
            <w:r w:rsidRPr="00E57E03">
              <w:rPr>
                <w:rFonts w:cs="Times New Roman"/>
                <w:color w:val="000000" w:themeColor="text1"/>
                <w:sz w:val="22"/>
              </w:rPr>
              <w:t xml:space="preserve">Regulations of </w:t>
            </w:r>
            <w:proofErr w:type="spellStart"/>
            <w:r w:rsidRPr="00E57E03">
              <w:rPr>
                <w:rFonts w:cs="Times New Roman"/>
                <w:color w:val="000000" w:themeColor="text1"/>
                <w:sz w:val="22"/>
              </w:rPr>
              <w:t>Petrolimex</w:t>
            </w:r>
            <w:proofErr w:type="spellEnd"/>
            <w:r w:rsidRPr="00E57E03">
              <w:rPr>
                <w:rFonts w:cs="Times New Roman"/>
                <w:color w:val="000000" w:themeColor="text1"/>
                <w:sz w:val="22"/>
              </w:rPr>
              <w:t>;</w:t>
            </w:r>
          </w:p>
        </w:tc>
        <w:tc>
          <w:tcPr>
            <w:tcW w:w="1434" w:type="pct"/>
          </w:tcPr>
          <w:p w14:paraId="463CF704" w14:textId="03557067" w:rsidR="00696192" w:rsidRPr="00E57E03" w:rsidRDefault="00415615" w:rsidP="00696192">
            <w:pPr>
              <w:widowControl w:val="0"/>
              <w:adjustRightInd w:val="0"/>
              <w:snapToGrid w:val="0"/>
              <w:spacing w:before="60" w:after="60"/>
              <w:jc w:val="both"/>
              <w:rPr>
                <w:rFonts w:cs="Times New Roman"/>
                <w:b/>
                <w:bCs/>
                <w:color w:val="000000" w:themeColor="text1"/>
                <w:sz w:val="22"/>
              </w:rPr>
            </w:pPr>
            <w:r w:rsidRPr="00E57E03">
              <w:rPr>
                <w:rFonts w:cs="Times New Roman"/>
                <w:color w:val="000000" w:themeColor="text1"/>
                <w:sz w:val="22"/>
              </w:rPr>
              <w:lastRenderedPageBreak/>
              <w:t xml:space="preserve">s) Decide to promulgate the Operating Regulations of the Board of Management, the Internal Regulations on Petrolimex Corporate Governance after it is adopted by the General Meeting of Shareholders; to decide to promulgate the Regulations on information </w:t>
            </w:r>
            <w:r w:rsidRPr="00E57E03">
              <w:rPr>
                <w:rFonts w:cs="Times New Roman"/>
                <w:color w:val="000000" w:themeColor="text1"/>
                <w:sz w:val="22"/>
              </w:rPr>
              <w:lastRenderedPageBreak/>
              <w:t xml:space="preserve">disclosure of Petrolimex </w:t>
            </w:r>
            <w:r w:rsidRPr="00E57E03">
              <w:rPr>
                <w:rFonts w:cs="Times New Roman"/>
                <w:color w:val="000000" w:themeColor="text1"/>
                <w:sz w:val="22"/>
                <w:u w:val="single"/>
              </w:rPr>
              <w:t>and other necessary regulations under the authority of the Board of Management;</w:t>
            </w:r>
          </w:p>
        </w:tc>
        <w:tc>
          <w:tcPr>
            <w:tcW w:w="1272" w:type="pct"/>
          </w:tcPr>
          <w:p w14:paraId="2BDD417A" w14:textId="7FC5C4A7" w:rsidR="00696192" w:rsidRPr="00E57E03" w:rsidRDefault="006F7E6F"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Add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27, Clause 2, point s of the 2026 Draft Charter.</w:t>
            </w:r>
          </w:p>
        </w:tc>
      </w:tr>
      <w:tr w:rsidR="0017636B" w:rsidRPr="00E57E03" w14:paraId="7ECE3BEE" w14:textId="77777777" w:rsidTr="0024588C">
        <w:trPr>
          <w:trHeight w:val="20"/>
        </w:trPr>
        <w:tc>
          <w:tcPr>
            <w:tcW w:w="261" w:type="pct"/>
          </w:tcPr>
          <w:p w14:paraId="08FA9875" w14:textId="77777777" w:rsidR="0017636B" w:rsidRPr="00E57E03" w:rsidRDefault="0017636B"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0B766A5" w14:textId="10CB3CAF" w:rsidR="0017636B" w:rsidRPr="00E57E03" w:rsidRDefault="0017636B" w:rsidP="003010F3">
            <w:pPr>
              <w:widowControl w:val="0"/>
              <w:adjustRightInd w:val="0"/>
              <w:snapToGrid w:val="0"/>
              <w:spacing w:before="60" w:after="60"/>
              <w:jc w:val="both"/>
              <w:rPr>
                <w:rFonts w:cs="Times New Roman"/>
                <w:sz w:val="22"/>
              </w:rPr>
            </w:pPr>
            <w:r w:rsidRPr="00E57E03">
              <w:rPr>
                <w:rFonts w:cs="Times New Roman"/>
                <w:sz w:val="22"/>
              </w:rPr>
              <w:t>Article 12, Clause 2, point r</w:t>
            </w:r>
          </w:p>
        </w:tc>
        <w:tc>
          <w:tcPr>
            <w:tcW w:w="1416" w:type="pct"/>
          </w:tcPr>
          <w:p w14:paraId="1788D216" w14:textId="77777777" w:rsidR="008C25AD" w:rsidRPr="00E57E03" w:rsidRDefault="008C25AD" w:rsidP="008C25A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12. Rights and obligations of the Board of Management</w:t>
            </w:r>
          </w:p>
          <w:p w14:paraId="6FC97F97" w14:textId="77777777" w:rsidR="0017636B" w:rsidRPr="00E57E03" w:rsidRDefault="00430BE5" w:rsidP="00653B2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2. The rights and obligations of the Board of Management shall be governed by the law, Petrolimex Charter and the decisions of the General Meeting of Shareholders. Specially, the Board of Management shall have the following powers and duties:</w:t>
            </w:r>
          </w:p>
          <w:p w14:paraId="66E98CE0" w14:textId="72C2DBF4" w:rsidR="00430BE5" w:rsidRPr="00E57E03" w:rsidRDefault="003F1D5E" w:rsidP="00653B2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r) Other rights and obligations as prescribed by the Law on Enterprises, Law on Securities, the provisions of the law and the internal regulations of Petrolimex.</w:t>
            </w:r>
          </w:p>
        </w:tc>
        <w:tc>
          <w:tcPr>
            <w:tcW w:w="1434" w:type="pct"/>
          </w:tcPr>
          <w:p w14:paraId="28CE4B69" w14:textId="61164570" w:rsidR="0017636B" w:rsidRPr="00E57E03" w:rsidRDefault="00F12DD5" w:rsidP="003F1D5E">
            <w:pPr>
              <w:widowControl w:val="0"/>
              <w:adjustRightInd w:val="0"/>
              <w:snapToGrid w:val="0"/>
              <w:spacing w:before="60" w:after="60"/>
              <w:jc w:val="both"/>
              <w:rPr>
                <w:rFonts w:cs="Times New Roman"/>
                <w:b/>
                <w:bCs/>
                <w:color w:val="000000" w:themeColor="text1"/>
                <w:sz w:val="22"/>
              </w:rPr>
            </w:pPr>
            <w:r w:rsidRPr="00E57E03">
              <w:rPr>
                <w:rFonts w:cs="Times New Roman"/>
                <w:color w:val="000000" w:themeColor="text1"/>
                <w:sz w:val="22"/>
              </w:rPr>
              <w:t xml:space="preserve">t) Other rights and obligations as prescribed by the Law on Enterprises, Law on Securities, </w:t>
            </w:r>
            <w:r w:rsidRPr="00E57E03">
              <w:rPr>
                <w:rFonts w:cs="Times New Roman"/>
                <w:color w:val="000000" w:themeColor="text1"/>
                <w:sz w:val="22"/>
                <w:u w:val="single"/>
              </w:rPr>
              <w:t>the Law on Management and Investment of State Capital in Enterprises</w:t>
            </w:r>
            <w:r w:rsidRPr="00E57E03">
              <w:rPr>
                <w:rFonts w:cs="Times New Roman"/>
                <w:color w:val="000000" w:themeColor="text1"/>
                <w:sz w:val="22"/>
              </w:rPr>
              <w:t>, other provisions of the law and the internal regulations of Petrolimex.</w:t>
            </w:r>
          </w:p>
        </w:tc>
        <w:tc>
          <w:tcPr>
            <w:tcW w:w="1272" w:type="pct"/>
          </w:tcPr>
          <w:p w14:paraId="0D2FD36A" w14:textId="6F82F032" w:rsidR="0017636B" w:rsidRPr="00E57E03" w:rsidRDefault="00F90B1E"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Supplement the regulatory sources, governing Petrolimex operations in accordance with the actual scope of operation.</w:t>
            </w:r>
          </w:p>
        </w:tc>
      </w:tr>
      <w:tr w:rsidR="00187E55" w:rsidRPr="00E57E03" w14:paraId="59512AC3" w14:textId="77777777" w:rsidTr="00277F65">
        <w:trPr>
          <w:trHeight w:val="20"/>
        </w:trPr>
        <w:tc>
          <w:tcPr>
            <w:tcW w:w="261" w:type="pct"/>
          </w:tcPr>
          <w:p w14:paraId="7BD9FCB4" w14:textId="77777777" w:rsidR="00187E55" w:rsidRPr="00E57E03" w:rsidRDefault="00187E55"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4C08943" w14:textId="2317D7C2" w:rsidR="00187E55" w:rsidRPr="00E57E03" w:rsidRDefault="00187E55" w:rsidP="003010F3">
            <w:pPr>
              <w:widowControl w:val="0"/>
              <w:adjustRightInd w:val="0"/>
              <w:snapToGrid w:val="0"/>
              <w:spacing w:before="60" w:after="60"/>
              <w:jc w:val="both"/>
              <w:rPr>
                <w:rFonts w:cs="Times New Roman"/>
                <w:sz w:val="22"/>
              </w:rPr>
            </w:pPr>
            <w:r w:rsidRPr="00E57E03">
              <w:rPr>
                <w:rFonts w:cs="Times New Roman"/>
                <w:sz w:val="22"/>
              </w:rPr>
              <w:t>Article 13, Clause 1</w:t>
            </w:r>
          </w:p>
        </w:tc>
        <w:tc>
          <w:tcPr>
            <w:tcW w:w="1416" w:type="pct"/>
          </w:tcPr>
          <w:p w14:paraId="195EC38E" w14:textId="6AAE82D6" w:rsidR="00187E55" w:rsidRPr="00E57E03" w:rsidRDefault="009F348C" w:rsidP="002D01B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1. The Board of Management </w:t>
            </w:r>
            <w:r w:rsidR="002D01B4" w:rsidRPr="00E57E03">
              <w:rPr>
                <w:rFonts w:cs="Times New Roman"/>
                <w:color w:val="000000" w:themeColor="text1"/>
                <w:sz w:val="22"/>
              </w:rPr>
              <w:t xml:space="preserve">approves </w:t>
            </w:r>
            <w:r w:rsidRPr="00E57E03">
              <w:rPr>
                <w:rFonts w:cs="Times New Roman"/>
                <w:color w:val="000000" w:themeColor="text1"/>
                <w:sz w:val="22"/>
              </w:rPr>
              <w:t xml:space="preserve">the contracts and transactions having value of less than 35% or transactions resulting in total transaction value within 12 months since the first transaction date, having value of less than 35% of total asset value recorded in the latest financial statements or a smaller percent, value as specified at Petrolimex Charter between Petrolimex </w:t>
            </w:r>
            <w:r w:rsidRPr="00E57E03">
              <w:rPr>
                <w:rFonts w:cs="Times New Roman"/>
                <w:color w:val="000000" w:themeColor="text1"/>
                <w:sz w:val="22"/>
              </w:rPr>
              <w:lastRenderedPageBreak/>
              <w:t>and one of following entities:</w:t>
            </w:r>
          </w:p>
        </w:tc>
        <w:tc>
          <w:tcPr>
            <w:tcW w:w="1434" w:type="pct"/>
          </w:tcPr>
          <w:p w14:paraId="6380EDEF" w14:textId="43DE3338" w:rsidR="00187E55" w:rsidRPr="00E57E03" w:rsidRDefault="009F348C" w:rsidP="002D01B4">
            <w:pPr>
              <w:widowControl w:val="0"/>
              <w:adjustRightInd w:val="0"/>
              <w:snapToGrid w:val="0"/>
              <w:spacing w:before="60" w:after="60"/>
              <w:jc w:val="both"/>
              <w:rPr>
                <w:rFonts w:cs="Times New Roman"/>
                <w:b/>
                <w:color w:val="000000" w:themeColor="text1"/>
                <w:sz w:val="22"/>
              </w:rPr>
            </w:pPr>
            <w:r w:rsidRPr="00E57E03">
              <w:rPr>
                <w:rFonts w:cs="Times New Roman"/>
                <w:color w:val="000000" w:themeColor="text1"/>
                <w:sz w:val="22"/>
              </w:rPr>
              <w:lastRenderedPageBreak/>
              <w:t xml:space="preserve">1. The Board of Management </w:t>
            </w:r>
            <w:r w:rsidR="002D01B4" w:rsidRPr="00E57E03">
              <w:rPr>
                <w:rFonts w:cs="Times New Roman"/>
                <w:color w:val="000000" w:themeColor="text1"/>
                <w:sz w:val="22"/>
              </w:rPr>
              <w:t>approves</w:t>
            </w:r>
            <w:r w:rsidRPr="00E57E03">
              <w:rPr>
                <w:rFonts w:cs="Times New Roman"/>
                <w:color w:val="000000" w:themeColor="text1"/>
                <w:sz w:val="22"/>
              </w:rPr>
              <w:t xml:space="preserve"> the contracts and transactions having value of less than 35% or transactions resulting in total transaction value within 12 months since the first transaction date, having value of less than 35% of total asset value recorded in the latest financial statements </w:t>
            </w:r>
            <w:r w:rsidRPr="00E57E03">
              <w:rPr>
                <w:rFonts w:cs="Times New Roman"/>
                <w:strike/>
                <w:color w:val="000000" w:themeColor="text1"/>
                <w:sz w:val="22"/>
              </w:rPr>
              <w:t>or a smaller percent, value as specified at Petrolimex Charter</w:t>
            </w:r>
            <w:r w:rsidRPr="00E57E03">
              <w:rPr>
                <w:rFonts w:cs="Times New Roman"/>
                <w:color w:val="000000" w:themeColor="text1"/>
                <w:sz w:val="22"/>
              </w:rPr>
              <w:t xml:space="preserve"> between Petrolimex and one of following </w:t>
            </w:r>
            <w:r w:rsidRPr="00E57E03">
              <w:rPr>
                <w:rFonts w:cs="Times New Roman"/>
                <w:color w:val="000000" w:themeColor="text1"/>
                <w:sz w:val="22"/>
              </w:rPr>
              <w:lastRenderedPageBreak/>
              <w:t>entities:</w:t>
            </w:r>
          </w:p>
        </w:tc>
        <w:tc>
          <w:tcPr>
            <w:tcW w:w="1272" w:type="pct"/>
          </w:tcPr>
          <w:p w14:paraId="6434D160" w14:textId="2E72B361" w:rsidR="00187E55" w:rsidRPr="00E57E03" w:rsidRDefault="009F348C"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Amend to comply with Article 27, Clause 2, point k of the 2026 Draft Charter.</w:t>
            </w:r>
          </w:p>
        </w:tc>
      </w:tr>
      <w:tr w:rsidR="00472227" w:rsidRPr="00E57E03" w14:paraId="06738518" w14:textId="77777777" w:rsidTr="00277F65">
        <w:trPr>
          <w:trHeight w:val="20"/>
        </w:trPr>
        <w:tc>
          <w:tcPr>
            <w:tcW w:w="261" w:type="pct"/>
          </w:tcPr>
          <w:p w14:paraId="135D67DD" w14:textId="77777777" w:rsidR="00472227" w:rsidRPr="00E57E03" w:rsidRDefault="00472227" w:rsidP="00472227">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016647EE" w14:textId="5360E316" w:rsidR="00472227" w:rsidRPr="00E57E03" w:rsidRDefault="00472227" w:rsidP="00472227">
            <w:pPr>
              <w:widowControl w:val="0"/>
              <w:adjustRightInd w:val="0"/>
              <w:snapToGrid w:val="0"/>
              <w:spacing w:before="60" w:after="60"/>
              <w:jc w:val="both"/>
              <w:rPr>
                <w:rFonts w:cs="Times New Roman"/>
                <w:sz w:val="22"/>
              </w:rPr>
            </w:pPr>
            <w:r w:rsidRPr="00E57E03">
              <w:rPr>
                <w:rFonts w:cs="Times New Roman"/>
                <w:sz w:val="22"/>
              </w:rPr>
              <w:t>Article 16, Clause 3, point c</w:t>
            </w:r>
          </w:p>
        </w:tc>
        <w:tc>
          <w:tcPr>
            <w:tcW w:w="1416" w:type="pct"/>
          </w:tcPr>
          <w:p w14:paraId="3225BE0F" w14:textId="7A3957F6" w:rsidR="00472227" w:rsidRPr="00E57E03" w:rsidRDefault="00472227" w:rsidP="00472227">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3. </w:t>
            </w:r>
            <w:r w:rsidR="002607DD" w:rsidRPr="00E57E03">
              <w:rPr>
                <w:rFonts w:cs="Times New Roman"/>
                <w:color w:val="000000" w:themeColor="text1"/>
                <w:sz w:val="22"/>
              </w:rPr>
              <w:t xml:space="preserve">The </w:t>
            </w:r>
            <w:r w:rsidR="002D01B4" w:rsidRPr="00E57E03">
              <w:rPr>
                <w:rFonts w:cs="Times New Roman"/>
                <w:color w:val="000000" w:themeColor="text1"/>
                <w:sz w:val="22"/>
              </w:rPr>
              <w:t>corporate governance officer</w:t>
            </w:r>
            <w:r w:rsidRPr="00E57E03">
              <w:rPr>
                <w:rFonts w:cs="Times New Roman"/>
                <w:color w:val="000000" w:themeColor="text1"/>
                <w:sz w:val="22"/>
              </w:rPr>
              <w:t xml:space="preserve"> </w:t>
            </w:r>
            <w:r w:rsidR="002607DD" w:rsidRPr="00E57E03">
              <w:rPr>
                <w:rFonts w:cs="Times New Roman"/>
                <w:color w:val="000000" w:themeColor="text1"/>
                <w:sz w:val="22"/>
              </w:rPr>
              <w:t xml:space="preserve">of Petrolimex </w:t>
            </w:r>
            <w:r w:rsidRPr="00E57E03">
              <w:rPr>
                <w:rFonts w:cs="Times New Roman"/>
                <w:color w:val="000000" w:themeColor="text1"/>
                <w:sz w:val="22"/>
              </w:rPr>
              <w:t>shall have following rights and obligations:</w:t>
            </w:r>
          </w:p>
          <w:p w14:paraId="4BE2233E" w14:textId="6CF919D1" w:rsidR="00472227" w:rsidRPr="00E57E03" w:rsidRDefault="00472227" w:rsidP="00472227">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c) Provide advice on procedures of meetings;</w:t>
            </w:r>
          </w:p>
        </w:tc>
        <w:tc>
          <w:tcPr>
            <w:tcW w:w="1434" w:type="pct"/>
          </w:tcPr>
          <w:p w14:paraId="3D6EDAB1" w14:textId="1E2D763C" w:rsidR="00472227" w:rsidRPr="00E57E03" w:rsidRDefault="00472227" w:rsidP="00472227">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c) Provide advice on procedures of </w:t>
            </w:r>
            <w:r w:rsidRPr="00E57E03">
              <w:rPr>
                <w:rFonts w:cs="Times New Roman"/>
                <w:color w:val="000000" w:themeColor="text1"/>
                <w:sz w:val="22"/>
                <w:u w:val="single"/>
              </w:rPr>
              <w:t>meetings of Board of Management and the General Meeting of Shareholders;</w:t>
            </w:r>
          </w:p>
        </w:tc>
        <w:tc>
          <w:tcPr>
            <w:tcW w:w="1272" w:type="pct"/>
          </w:tcPr>
          <w:p w14:paraId="60C87D15" w14:textId="1AAE4D53" w:rsidR="00472227" w:rsidRPr="00E57E03" w:rsidRDefault="00472227" w:rsidP="00472227">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Add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32, Clause 3, point c of the 2026 Draft Charter.</w:t>
            </w:r>
          </w:p>
        </w:tc>
      </w:tr>
      <w:tr w:rsidR="00472227" w:rsidRPr="00E57E03" w14:paraId="52D6EFC7" w14:textId="77777777" w:rsidTr="00277F65">
        <w:trPr>
          <w:trHeight w:val="20"/>
        </w:trPr>
        <w:tc>
          <w:tcPr>
            <w:tcW w:w="261" w:type="pct"/>
          </w:tcPr>
          <w:p w14:paraId="7DD54ABF" w14:textId="77777777" w:rsidR="00472227" w:rsidRPr="00E57E03" w:rsidRDefault="00472227" w:rsidP="00472227">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AA17047" w14:textId="1F67808C" w:rsidR="00472227" w:rsidRPr="00E57E03" w:rsidRDefault="00472227" w:rsidP="00472227">
            <w:pPr>
              <w:widowControl w:val="0"/>
              <w:adjustRightInd w:val="0"/>
              <w:snapToGrid w:val="0"/>
              <w:spacing w:before="60" w:after="60"/>
              <w:jc w:val="both"/>
              <w:rPr>
                <w:rFonts w:cs="Times New Roman"/>
                <w:sz w:val="22"/>
              </w:rPr>
            </w:pPr>
            <w:r w:rsidRPr="00E57E03">
              <w:rPr>
                <w:rFonts w:cs="Times New Roman"/>
                <w:sz w:val="22"/>
              </w:rPr>
              <w:t>Article 16, Clause 3, point d</w:t>
            </w:r>
          </w:p>
        </w:tc>
        <w:tc>
          <w:tcPr>
            <w:tcW w:w="1416" w:type="pct"/>
          </w:tcPr>
          <w:p w14:paraId="0AF58800" w14:textId="2E97BCEB" w:rsidR="00472227" w:rsidRPr="00E57E03" w:rsidRDefault="00472227" w:rsidP="00472227">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3. </w:t>
            </w:r>
            <w:r w:rsidR="002607DD" w:rsidRPr="00E57E03">
              <w:rPr>
                <w:rFonts w:cs="Times New Roman"/>
                <w:color w:val="000000" w:themeColor="text1"/>
                <w:sz w:val="22"/>
              </w:rPr>
              <w:t xml:space="preserve">The corporate governance officer of </w:t>
            </w:r>
            <w:proofErr w:type="spellStart"/>
            <w:r w:rsidR="002607DD" w:rsidRPr="00E57E03">
              <w:rPr>
                <w:rFonts w:cs="Times New Roman"/>
                <w:color w:val="000000" w:themeColor="text1"/>
                <w:sz w:val="22"/>
              </w:rPr>
              <w:t>Petrolimex</w:t>
            </w:r>
            <w:proofErr w:type="spellEnd"/>
            <w:r w:rsidR="002607DD" w:rsidRPr="00E57E03">
              <w:rPr>
                <w:rFonts w:cs="Times New Roman"/>
                <w:color w:val="000000" w:themeColor="text1"/>
                <w:sz w:val="22"/>
              </w:rPr>
              <w:t xml:space="preserve"> </w:t>
            </w:r>
            <w:r w:rsidRPr="00E57E03">
              <w:rPr>
                <w:rFonts w:cs="Times New Roman"/>
                <w:color w:val="000000" w:themeColor="text1"/>
                <w:sz w:val="22"/>
              </w:rPr>
              <w:t>shall have following rights and obligations:</w:t>
            </w:r>
          </w:p>
          <w:p w14:paraId="1E5D4D67" w14:textId="086F1AE1" w:rsidR="00472227" w:rsidRPr="00E57E03" w:rsidRDefault="00472227" w:rsidP="00472227">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d) Attend the meetings;</w:t>
            </w:r>
          </w:p>
        </w:tc>
        <w:tc>
          <w:tcPr>
            <w:tcW w:w="1434" w:type="pct"/>
          </w:tcPr>
          <w:p w14:paraId="7C6F3AC3" w14:textId="511D9B69" w:rsidR="00472227" w:rsidRPr="00E57E03" w:rsidRDefault="00472227" w:rsidP="00472227">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d) Attend the meetings of </w:t>
            </w:r>
            <w:r w:rsidRPr="00E57E03">
              <w:rPr>
                <w:rFonts w:cs="Times New Roman"/>
                <w:color w:val="000000" w:themeColor="text1"/>
                <w:sz w:val="22"/>
                <w:u w:val="single"/>
              </w:rPr>
              <w:t>Board of Management and the General Meeting of Shareholders;</w:t>
            </w:r>
          </w:p>
        </w:tc>
        <w:tc>
          <w:tcPr>
            <w:tcW w:w="1272" w:type="pct"/>
          </w:tcPr>
          <w:p w14:paraId="522E3C95" w14:textId="42171BBA" w:rsidR="00472227" w:rsidRPr="00E57E03" w:rsidRDefault="00472227" w:rsidP="00472227">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Add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32, Clause 3, point d of the 2026 Draft Charter.</w:t>
            </w:r>
          </w:p>
        </w:tc>
      </w:tr>
      <w:tr w:rsidR="0038345B" w:rsidRPr="00E57E03" w14:paraId="62A6A9BC" w14:textId="77777777" w:rsidTr="0024588C">
        <w:trPr>
          <w:trHeight w:val="20"/>
        </w:trPr>
        <w:tc>
          <w:tcPr>
            <w:tcW w:w="261" w:type="pct"/>
          </w:tcPr>
          <w:p w14:paraId="21917BD4" w14:textId="77777777" w:rsidR="0038345B" w:rsidRPr="00E57E03" w:rsidRDefault="0038345B"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65484490" w14:textId="30E5C5BD" w:rsidR="0038345B" w:rsidRPr="00E57E03" w:rsidRDefault="0038345B" w:rsidP="003010F3">
            <w:pPr>
              <w:widowControl w:val="0"/>
              <w:adjustRightInd w:val="0"/>
              <w:snapToGrid w:val="0"/>
              <w:spacing w:before="60" w:after="60"/>
              <w:jc w:val="both"/>
              <w:rPr>
                <w:rFonts w:cs="Times New Roman"/>
                <w:sz w:val="22"/>
              </w:rPr>
            </w:pPr>
            <w:r w:rsidRPr="00E57E03">
              <w:rPr>
                <w:rFonts w:cs="Times New Roman"/>
                <w:sz w:val="22"/>
              </w:rPr>
              <w:t>Article 16, Clause 3, point i</w:t>
            </w:r>
          </w:p>
        </w:tc>
        <w:tc>
          <w:tcPr>
            <w:tcW w:w="1416" w:type="pct"/>
          </w:tcPr>
          <w:p w14:paraId="434F31F4" w14:textId="7A4E7E55" w:rsidR="006C210A" w:rsidRPr="00E57E03" w:rsidRDefault="00FE225A" w:rsidP="008C25A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3. </w:t>
            </w:r>
            <w:r w:rsidR="002607DD" w:rsidRPr="00E57E03">
              <w:rPr>
                <w:rFonts w:cs="Times New Roman"/>
                <w:color w:val="000000" w:themeColor="text1"/>
                <w:sz w:val="22"/>
              </w:rPr>
              <w:t xml:space="preserve">The corporate governance officer of </w:t>
            </w:r>
            <w:proofErr w:type="spellStart"/>
            <w:r w:rsidR="002607DD" w:rsidRPr="00E57E03">
              <w:rPr>
                <w:rFonts w:cs="Times New Roman"/>
                <w:color w:val="000000" w:themeColor="text1"/>
                <w:sz w:val="22"/>
              </w:rPr>
              <w:t>Petrolimex</w:t>
            </w:r>
            <w:proofErr w:type="spellEnd"/>
            <w:r w:rsidR="002607DD" w:rsidRPr="00E57E03">
              <w:rPr>
                <w:rFonts w:cs="Times New Roman"/>
                <w:color w:val="000000" w:themeColor="text1"/>
                <w:sz w:val="22"/>
              </w:rPr>
              <w:t xml:space="preserve"> </w:t>
            </w:r>
            <w:r w:rsidRPr="00E57E03">
              <w:rPr>
                <w:rFonts w:cs="Times New Roman"/>
                <w:color w:val="000000" w:themeColor="text1"/>
                <w:sz w:val="22"/>
              </w:rPr>
              <w:t>shall have following rights and obligations:</w:t>
            </w:r>
          </w:p>
          <w:p w14:paraId="207B2C45" w14:textId="4E4CF7FB" w:rsidR="00FE225A" w:rsidRPr="00E57E03" w:rsidRDefault="00FE225A" w:rsidP="008C25A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i) Keep information confidential as prescribed by the laws and the Charter of Petrolimex;</w:t>
            </w:r>
          </w:p>
        </w:tc>
        <w:tc>
          <w:tcPr>
            <w:tcW w:w="1434" w:type="pct"/>
          </w:tcPr>
          <w:p w14:paraId="305E1262" w14:textId="3764710A" w:rsidR="0038345B" w:rsidRPr="00E57E03" w:rsidRDefault="00F46399" w:rsidP="00F46399">
            <w:pPr>
              <w:widowControl w:val="0"/>
              <w:adjustRightInd w:val="0"/>
              <w:snapToGrid w:val="0"/>
              <w:spacing w:before="60" w:after="60"/>
              <w:jc w:val="both"/>
              <w:rPr>
                <w:rFonts w:cs="Times New Roman"/>
                <w:b/>
                <w:color w:val="000000" w:themeColor="text1"/>
                <w:sz w:val="22"/>
              </w:rPr>
            </w:pPr>
            <w:r w:rsidRPr="00E57E03">
              <w:rPr>
                <w:rFonts w:cs="Times New Roman"/>
                <w:color w:val="000000" w:themeColor="text1"/>
                <w:sz w:val="22"/>
              </w:rPr>
              <w:t xml:space="preserve">i) Keep information confidential as prescribed by the laws, the Charter and </w:t>
            </w:r>
            <w:r w:rsidRPr="00E57E03">
              <w:rPr>
                <w:rFonts w:cs="Times New Roman"/>
                <w:color w:val="000000" w:themeColor="text1"/>
                <w:sz w:val="22"/>
                <w:u w:val="single"/>
              </w:rPr>
              <w:t>internal regulations of Petrolimex;</w:t>
            </w:r>
          </w:p>
        </w:tc>
        <w:tc>
          <w:tcPr>
            <w:tcW w:w="1272" w:type="pct"/>
          </w:tcPr>
          <w:p w14:paraId="23F3FFBD" w14:textId="519C3C92" w:rsidR="0038345B" w:rsidRPr="00E57E03" w:rsidRDefault="00C340D9"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Add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32, Clause 3, point i of the 2026 Draft Charter.</w:t>
            </w:r>
          </w:p>
        </w:tc>
      </w:tr>
      <w:tr w:rsidR="009E2C09" w:rsidRPr="00E57E03" w14:paraId="1B6BDEE7" w14:textId="77777777" w:rsidTr="0024588C">
        <w:trPr>
          <w:trHeight w:val="20"/>
        </w:trPr>
        <w:tc>
          <w:tcPr>
            <w:tcW w:w="261" w:type="pct"/>
          </w:tcPr>
          <w:p w14:paraId="0FE76C45" w14:textId="77777777" w:rsidR="009E2C09" w:rsidRPr="00E57E03" w:rsidRDefault="009E2C09"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3C313D8D" w14:textId="4F26C54A" w:rsidR="009E2C09" w:rsidRPr="00E57E03" w:rsidRDefault="0059191D" w:rsidP="003010F3">
            <w:pPr>
              <w:widowControl w:val="0"/>
              <w:adjustRightInd w:val="0"/>
              <w:snapToGrid w:val="0"/>
              <w:spacing w:before="60" w:after="60"/>
              <w:jc w:val="both"/>
              <w:rPr>
                <w:rFonts w:cs="Times New Roman"/>
                <w:sz w:val="22"/>
              </w:rPr>
            </w:pPr>
            <w:r w:rsidRPr="00E57E03">
              <w:rPr>
                <w:rFonts w:cs="Times New Roman"/>
                <w:sz w:val="22"/>
              </w:rPr>
              <w:t>Article 16, Clause 3, point k</w:t>
            </w:r>
          </w:p>
        </w:tc>
        <w:tc>
          <w:tcPr>
            <w:tcW w:w="1416" w:type="pct"/>
          </w:tcPr>
          <w:p w14:paraId="7B3CCDA5" w14:textId="5C6F9A63" w:rsidR="00404F26" w:rsidRPr="00E57E03" w:rsidRDefault="00404F26" w:rsidP="00404F26">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3. </w:t>
            </w:r>
            <w:r w:rsidR="002607DD" w:rsidRPr="00E57E03">
              <w:rPr>
                <w:rFonts w:cs="Times New Roman"/>
                <w:color w:val="000000" w:themeColor="text1"/>
                <w:sz w:val="22"/>
              </w:rPr>
              <w:t xml:space="preserve">The corporate governance officer of </w:t>
            </w:r>
            <w:proofErr w:type="spellStart"/>
            <w:r w:rsidR="002607DD" w:rsidRPr="00E57E03">
              <w:rPr>
                <w:rFonts w:cs="Times New Roman"/>
                <w:color w:val="000000" w:themeColor="text1"/>
                <w:sz w:val="22"/>
              </w:rPr>
              <w:t>Petrolimex</w:t>
            </w:r>
            <w:proofErr w:type="spellEnd"/>
            <w:r w:rsidR="002607DD" w:rsidRPr="00E57E03">
              <w:rPr>
                <w:rFonts w:cs="Times New Roman"/>
                <w:color w:val="000000" w:themeColor="text1"/>
                <w:sz w:val="22"/>
              </w:rPr>
              <w:t xml:space="preserve"> </w:t>
            </w:r>
            <w:r w:rsidRPr="00E57E03">
              <w:rPr>
                <w:rFonts w:cs="Times New Roman"/>
                <w:color w:val="000000" w:themeColor="text1"/>
                <w:sz w:val="22"/>
              </w:rPr>
              <w:t>shall have following rights and obligations:</w:t>
            </w:r>
          </w:p>
          <w:p w14:paraId="481323B0" w14:textId="2E7C9225" w:rsidR="009E2C09" w:rsidRPr="00E57E03" w:rsidRDefault="00B85D27" w:rsidP="008C25A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k) Other rights and obligations as prescribed by the laws and the Internal Regulations of Petrolimex.</w:t>
            </w:r>
          </w:p>
        </w:tc>
        <w:tc>
          <w:tcPr>
            <w:tcW w:w="1434" w:type="pct"/>
          </w:tcPr>
          <w:p w14:paraId="214CEC22" w14:textId="49217100" w:rsidR="009E2C09" w:rsidRPr="00E57E03" w:rsidRDefault="0059191D" w:rsidP="00F46399">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k) Other rights and obligations as prescribed by the laws, the </w:t>
            </w:r>
            <w:r w:rsidRPr="00E57E03">
              <w:rPr>
                <w:rFonts w:cs="Times New Roman"/>
                <w:color w:val="000000" w:themeColor="text1"/>
                <w:sz w:val="22"/>
                <w:u w:val="single"/>
              </w:rPr>
              <w:t>Charter and the Internal Regulations</w:t>
            </w:r>
            <w:r w:rsidRPr="00E57E03">
              <w:rPr>
                <w:rFonts w:cs="Times New Roman"/>
                <w:color w:val="000000" w:themeColor="text1"/>
                <w:sz w:val="22"/>
              </w:rPr>
              <w:t xml:space="preserve"> of Petrolimex.</w:t>
            </w:r>
          </w:p>
        </w:tc>
        <w:tc>
          <w:tcPr>
            <w:tcW w:w="1272" w:type="pct"/>
          </w:tcPr>
          <w:p w14:paraId="1F0B9BFC" w14:textId="4480A74B" w:rsidR="009E2C09" w:rsidRPr="00E57E03" w:rsidRDefault="0059191D"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Supplement to comply with Article 32, Clause 3, point k of the 2026 Draft Charter.</w:t>
            </w:r>
          </w:p>
        </w:tc>
      </w:tr>
      <w:tr w:rsidR="00875151" w:rsidRPr="00E57E03" w14:paraId="7CECE593" w14:textId="77777777" w:rsidTr="0024588C">
        <w:trPr>
          <w:trHeight w:val="20"/>
        </w:trPr>
        <w:tc>
          <w:tcPr>
            <w:tcW w:w="261" w:type="pct"/>
          </w:tcPr>
          <w:p w14:paraId="25DE2E99" w14:textId="77777777" w:rsidR="00875151" w:rsidRPr="00E57E03" w:rsidRDefault="00875151" w:rsidP="00875151">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57AE64FE" w14:textId="5B924A0A" w:rsidR="00875151" w:rsidRPr="00E57E03" w:rsidRDefault="00875151" w:rsidP="00875151">
            <w:pPr>
              <w:widowControl w:val="0"/>
              <w:adjustRightInd w:val="0"/>
              <w:snapToGrid w:val="0"/>
              <w:spacing w:before="60" w:after="60"/>
              <w:jc w:val="both"/>
              <w:rPr>
                <w:rFonts w:cs="Times New Roman"/>
                <w:sz w:val="22"/>
              </w:rPr>
            </w:pPr>
            <w:r w:rsidRPr="00E57E03">
              <w:rPr>
                <w:rFonts w:cs="Times New Roman"/>
                <w:color w:val="000000" w:themeColor="text1"/>
                <w:sz w:val="22"/>
              </w:rPr>
              <w:t>Article 17, Clause 3</w:t>
            </w:r>
          </w:p>
        </w:tc>
        <w:tc>
          <w:tcPr>
            <w:tcW w:w="1416" w:type="pct"/>
          </w:tcPr>
          <w:p w14:paraId="58655411" w14:textId="162F39D4" w:rsidR="00875151" w:rsidRPr="00E57E03" w:rsidRDefault="00875151" w:rsidP="00875151">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3. The Board of Management may adopt one of the following voting methods: show of hands at the meeting or written opinion.</w:t>
            </w:r>
          </w:p>
        </w:tc>
        <w:tc>
          <w:tcPr>
            <w:tcW w:w="1434" w:type="pct"/>
          </w:tcPr>
          <w:p w14:paraId="4256EA51" w14:textId="2CCA257A" w:rsidR="00875151" w:rsidRPr="00E57E03" w:rsidRDefault="00875151" w:rsidP="00875151">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3. </w:t>
            </w:r>
            <w:r w:rsidRPr="00E57E03">
              <w:rPr>
                <w:rFonts w:cs="Times New Roman"/>
                <w:color w:val="000000" w:themeColor="text1"/>
                <w:sz w:val="22"/>
                <w:u w:val="single"/>
              </w:rPr>
              <w:t>The meeting of Board of Management is complied with Article 19 herein</w:t>
            </w:r>
            <w:r w:rsidRPr="00E57E03">
              <w:rPr>
                <w:rFonts w:cs="Times New Roman"/>
                <w:color w:val="000000" w:themeColor="text1"/>
                <w:sz w:val="22"/>
              </w:rPr>
              <w:t>.</w:t>
            </w:r>
          </w:p>
        </w:tc>
        <w:tc>
          <w:tcPr>
            <w:tcW w:w="1272" w:type="pct"/>
          </w:tcPr>
          <w:p w14:paraId="1B67EC9C" w14:textId="015853FA" w:rsidR="00875151" w:rsidRPr="00E57E03" w:rsidRDefault="00875151" w:rsidP="00875151">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This provision of Regulation 219 is not consistent with Clause 9, Article 30 of the 2026 Draft Charter and Article 19 of Regulation 219 regarding voting at BOM meetings. Therefore, it is recommended to correct by referring to Article 19 of the Draft Charter.</w:t>
            </w:r>
          </w:p>
        </w:tc>
      </w:tr>
      <w:tr w:rsidR="00A3475E" w:rsidRPr="00E57E03" w14:paraId="0A9D2E9F" w14:textId="77777777" w:rsidTr="0024588C">
        <w:trPr>
          <w:trHeight w:val="20"/>
        </w:trPr>
        <w:tc>
          <w:tcPr>
            <w:tcW w:w="261" w:type="pct"/>
          </w:tcPr>
          <w:p w14:paraId="44000108" w14:textId="77777777" w:rsidR="00A3475E" w:rsidRPr="00E57E03" w:rsidRDefault="00A3475E"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4F345A4F" w14:textId="7831AE8B" w:rsidR="00A3475E" w:rsidRPr="00E57E03" w:rsidRDefault="00A3475E" w:rsidP="003010F3">
            <w:pPr>
              <w:widowControl w:val="0"/>
              <w:adjustRightInd w:val="0"/>
              <w:snapToGrid w:val="0"/>
              <w:spacing w:before="60" w:after="60"/>
              <w:jc w:val="both"/>
              <w:rPr>
                <w:rFonts w:cs="Times New Roman"/>
                <w:sz w:val="22"/>
              </w:rPr>
            </w:pPr>
            <w:r w:rsidRPr="004E539E">
              <w:rPr>
                <w:rFonts w:cs="Times New Roman"/>
                <w:sz w:val="22"/>
              </w:rPr>
              <w:t>Article 19, Clause 2</w:t>
            </w:r>
          </w:p>
        </w:tc>
        <w:tc>
          <w:tcPr>
            <w:tcW w:w="1416" w:type="pct"/>
          </w:tcPr>
          <w:p w14:paraId="6BE430F4" w14:textId="77777777" w:rsidR="00110E7C" w:rsidRPr="00E57E03" w:rsidRDefault="00110E7C" w:rsidP="00110E7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19. Meetings of the Board of Management</w:t>
            </w:r>
          </w:p>
          <w:p w14:paraId="267970B4" w14:textId="478F13BB" w:rsidR="00A3475E" w:rsidRPr="00E57E03" w:rsidRDefault="00B23819" w:rsidP="008C25AD">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lastRenderedPageBreak/>
              <w:t>2. The Board of Management shall convene the meetings in accordance with Article 16.</w:t>
            </w:r>
          </w:p>
        </w:tc>
        <w:tc>
          <w:tcPr>
            <w:tcW w:w="1434" w:type="pct"/>
          </w:tcPr>
          <w:p w14:paraId="1BE5615D" w14:textId="2DEFAF38" w:rsidR="00A3475E" w:rsidRPr="00E57E03" w:rsidRDefault="00B23819" w:rsidP="00F46399">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 xml:space="preserve">2. The Board of Management may hold </w:t>
            </w:r>
            <w:r w:rsidRPr="00E57E03">
              <w:rPr>
                <w:rFonts w:cs="Times New Roman"/>
                <w:color w:val="000000" w:themeColor="text1"/>
                <w:sz w:val="22"/>
                <w:u w:val="single"/>
              </w:rPr>
              <w:t>quarterly or extraordinary meetings.</w:t>
            </w:r>
          </w:p>
        </w:tc>
        <w:tc>
          <w:tcPr>
            <w:tcW w:w="1272" w:type="pct"/>
          </w:tcPr>
          <w:p w14:paraId="49D4FA8F" w14:textId="79072804" w:rsidR="00A3475E" w:rsidRPr="00E57E03" w:rsidRDefault="004B2636"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Amend by the </w:t>
            </w:r>
            <w:r w:rsidRPr="00E57E03">
              <w:rPr>
                <w:rFonts w:cs="Times New Roman"/>
                <w:color w:val="000000" w:themeColor="text1"/>
                <w:sz w:val="22"/>
                <w:u w:val="single"/>
              </w:rPr>
              <w:t>underlined</w:t>
            </w:r>
            <w:r w:rsidRPr="00E57E03">
              <w:rPr>
                <w:rFonts w:cs="Times New Roman"/>
                <w:color w:val="000000" w:themeColor="text1"/>
                <w:sz w:val="22"/>
              </w:rPr>
              <w:t xml:space="preserve"> phrase to comply with Article 30, Clause 2 of </w:t>
            </w:r>
            <w:r w:rsidRPr="00E57E03">
              <w:rPr>
                <w:rFonts w:cs="Times New Roman"/>
                <w:color w:val="000000" w:themeColor="text1"/>
                <w:sz w:val="22"/>
              </w:rPr>
              <w:lastRenderedPageBreak/>
              <w:t>the 2026 Draft Charter; Article 15, Clause 2 of the Regulation Form.</w:t>
            </w:r>
          </w:p>
        </w:tc>
      </w:tr>
      <w:tr w:rsidR="00820104" w:rsidRPr="00E57E03" w14:paraId="7DAB0CE2" w14:textId="77777777" w:rsidTr="0024588C">
        <w:trPr>
          <w:trHeight w:val="20"/>
        </w:trPr>
        <w:tc>
          <w:tcPr>
            <w:tcW w:w="261" w:type="pct"/>
          </w:tcPr>
          <w:p w14:paraId="1332CDE0" w14:textId="77777777" w:rsidR="00820104" w:rsidRPr="00E57E03" w:rsidRDefault="00820104" w:rsidP="00301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F10D29C" w14:textId="7AAF2127" w:rsidR="00820104" w:rsidRPr="00E57E03" w:rsidRDefault="00820104" w:rsidP="003010F3">
            <w:pPr>
              <w:widowControl w:val="0"/>
              <w:adjustRightInd w:val="0"/>
              <w:snapToGrid w:val="0"/>
              <w:spacing w:before="60" w:after="60"/>
              <w:jc w:val="both"/>
              <w:rPr>
                <w:rFonts w:cs="Times New Roman"/>
                <w:sz w:val="22"/>
              </w:rPr>
            </w:pPr>
            <w:r w:rsidRPr="00E57E03">
              <w:rPr>
                <w:rFonts w:cs="Times New Roman"/>
                <w:sz w:val="22"/>
              </w:rPr>
              <w:t>Article 19, Clause 6</w:t>
            </w:r>
          </w:p>
        </w:tc>
        <w:tc>
          <w:tcPr>
            <w:tcW w:w="1416" w:type="pct"/>
          </w:tcPr>
          <w:p w14:paraId="20A698DE" w14:textId="77777777" w:rsidR="00820104" w:rsidRPr="00E57E03" w:rsidRDefault="00820104" w:rsidP="00820104">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19. Meetings of the Board of Management</w:t>
            </w:r>
          </w:p>
          <w:p w14:paraId="3A5F3AE3" w14:textId="77777777" w:rsidR="004D6469" w:rsidRPr="00E57E03" w:rsidRDefault="004D6469" w:rsidP="004D6469">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6. The Chairman of the Board of Management or the person convening the meeting of the Board of Management shall send the notice of and invitation to the meeting, at the latest three (3) days prior to the meeting date. The invitation must define specifically the time and venue of the meeting, agenda, issues to be discussed and decision with enclosed documents used at the meeting and the votes of members that will not attend the meeting.</w:t>
            </w:r>
          </w:p>
          <w:p w14:paraId="636C620B" w14:textId="4082C22C" w:rsidR="00820104" w:rsidRPr="00E57E03" w:rsidRDefault="00973497" w:rsidP="00110E7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Invitations may be sent by </w:t>
            </w:r>
            <w:proofErr w:type="gramStart"/>
            <w:r w:rsidRPr="00E57E03">
              <w:rPr>
                <w:rFonts w:cs="Times New Roman"/>
                <w:color w:val="000000" w:themeColor="text1"/>
                <w:sz w:val="22"/>
              </w:rPr>
              <w:t>post,</w:t>
            </w:r>
            <w:proofErr w:type="gramEnd"/>
            <w:r w:rsidRPr="00E57E03">
              <w:rPr>
                <w:rFonts w:cs="Times New Roman"/>
                <w:color w:val="000000" w:themeColor="text1"/>
                <w:sz w:val="22"/>
              </w:rPr>
              <w:t xml:space="preserve"> fax or other means and </w:t>
            </w:r>
            <w:r w:rsidR="002D01B4" w:rsidRPr="00E57E03">
              <w:rPr>
                <w:rFonts w:cs="Times New Roman"/>
                <w:color w:val="000000" w:themeColor="text1"/>
                <w:sz w:val="22"/>
              </w:rPr>
              <w:t>ensure that it reaches</w:t>
            </w:r>
            <w:r w:rsidRPr="00E57E03">
              <w:rPr>
                <w:rFonts w:cs="Times New Roman"/>
                <w:color w:val="000000" w:themeColor="text1"/>
                <w:sz w:val="22"/>
              </w:rPr>
              <w:t xml:space="preserve"> the address of each member of the Board of Management that was registered at Petrolimex.</w:t>
            </w:r>
          </w:p>
        </w:tc>
        <w:tc>
          <w:tcPr>
            <w:tcW w:w="1434" w:type="pct"/>
          </w:tcPr>
          <w:p w14:paraId="780DF0E8" w14:textId="77777777" w:rsidR="004D6469" w:rsidRPr="00E57E03" w:rsidRDefault="004D6469" w:rsidP="00F46399">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6. The Chairman of the Board of Management or the person convening the meeting of the Board of Management shall send the notice of and invitation to the meeting, at the latest three (3) days prior to the meeting date. The invitation must define specifically the time and venue of the meeting, agenda, issues to be discussed and decision with enclosed documents used at the meeting and the votes of members that will not attend the meeting.</w:t>
            </w:r>
          </w:p>
          <w:p w14:paraId="4FFA22C0" w14:textId="735FF5A3" w:rsidR="00820104" w:rsidRPr="00E57E03" w:rsidRDefault="00973497" w:rsidP="00F46399">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Invitations may be sent by </w:t>
            </w:r>
            <w:proofErr w:type="gramStart"/>
            <w:r w:rsidRPr="00E57E03">
              <w:rPr>
                <w:rFonts w:cs="Times New Roman"/>
                <w:color w:val="000000" w:themeColor="text1"/>
                <w:sz w:val="22"/>
              </w:rPr>
              <w:t>post,</w:t>
            </w:r>
            <w:proofErr w:type="gramEnd"/>
            <w:r w:rsidRPr="00E57E03">
              <w:rPr>
                <w:rFonts w:cs="Times New Roman"/>
                <w:color w:val="000000" w:themeColor="text1"/>
                <w:sz w:val="22"/>
              </w:rPr>
              <w:t xml:space="preserve"> fax or other means specified </w:t>
            </w:r>
            <w:r w:rsidRPr="00E57E03">
              <w:rPr>
                <w:rFonts w:cs="Times New Roman"/>
                <w:color w:val="000000" w:themeColor="text1"/>
                <w:sz w:val="22"/>
                <w:u w:val="single"/>
              </w:rPr>
              <w:t xml:space="preserve">by </w:t>
            </w:r>
            <w:proofErr w:type="spellStart"/>
            <w:r w:rsidRPr="00E57E03">
              <w:rPr>
                <w:rFonts w:cs="Times New Roman"/>
                <w:color w:val="000000" w:themeColor="text1"/>
                <w:sz w:val="22"/>
                <w:u w:val="single"/>
              </w:rPr>
              <w:t>Petrolimex</w:t>
            </w:r>
            <w:proofErr w:type="spellEnd"/>
            <w:r w:rsidRPr="00E57E03">
              <w:rPr>
                <w:rFonts w:cs="Times New Roman"/>
                <w:color w:val="000000" w:themeColor="text1"/>
                <w:sz w:val="22"/>
                <w:u w:val="single"/>
              </w:rPr>
              <w:t xml:space="preserve"> Charter</w:t>
            </w:r>
            <w:r w:rsidRPr="00E57E03">
              <w:rPr>
                <w:rFonts w:cs="Times New Roman"/>
                <w:color w:val="000000" w:themeColor="text1"/>
                <w:sz w:val="22"/>
              </w:rPr>
              <w:t xml:space="preserve"> and </w:t>
            </w:r>
            <w:r w:rsidR="002D01B4" w:rsidRPr="00E57E03">
              <w:rPr>
                <w:rFonts w:cs="Times New Roman"/>
                <w:color w:val="000000" w:themeColor="text1"/>
                <w:sz w:val="22"/>
              </w:rPr>
              <w:t>ensure that it reaches</w:t>
            </w:r>
            <w:r w:rsidRPr="00E57E03">
              <w:rPr>
                <w:rFonts w:cs="Times New Roman"/>
                <w:color w:val="000000" w:themeColor="text1"/>
                <w:sz w:val="22"/>
              </w:rPr>
              <w:t xml:space="preserve"> the address of each member of the Board of Management that was registered at Petrolimex.</w:t>
            </w:r>
          </w:p>
        </w:tc>
        <w:tc>
          <w:tcPr>
            <w:tcW w:w="1272" w:type="pct"/>
          </w:tcPr>
          <w:p w14:paraId="4A140906" w14:textId="1A8DA3B3" w:rsidR="00820104" w:rsidRPr="00E57E03" w:rsidRDefault="004D6469" w:rsidP="003010F3">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Amend to comply with Article 30, Clause 6 of the 2026 Draft Charter; Article 15, Clause 6 of the Regulation Form.</w:t>
            </w:r>
          </w:p>
        </w:tc>
      </w:tr>
      <w:tr w:rsidR="00E978FC" w:rsidRPr="00E57E03" w14:paraId="33173533" w14:textId="77777777" w:rsidTr="0024588C">
        <w:trPr>
          <w:trHeight w:val="20"/>
        </w:trPr>
        <w:tc>
          <w:tcPr>
            <w:tcW w:w="261" w:type="pct"/>
          </w:tcPr>
          <w:p w14:paraId="71FD7100" w14:textId="77777777" w:rsidR="00E978FC" w:rsidRPr="00E57E03" w:rsidRDefault="00E978FC" w:rsidP="00E978FC">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22E4FF91" w14:textId="40167045" w:rsidR="00E978FC" w:rsidRPr="00E57E03" w:rsidRDefault="00E978FC" w:rsidP="00E978FC">
            <w:pPr>
              <w:widowControl w:val="0"/>
              <w:adjustRightInd w:val="0"/>
              <w:snapToGrid w:val="0"/>
              <w:spacing w:before="60" w:after="60"/>
              <w:jc w:val="both"/>
              <w:rPr>
                <w:rFonts w:cs="Times New Roman"/>
                <w:sz w:val="22"/>
              </w:rPr>
            </w:pPr>
            <w:r w:rsidRPr="00E57E03">
              <w:rPr>
                <w:rFonts w:cs="Times New Roman"/>
                <w:color w:val="000000" w:themeColor="text1"/>
                <w:sz w:val="22"/>
              </w:rPr>
              <w:t>Article 19, Clause 12</w:t>
            </w:r>
          </w:p>
        </w:tc>
        <w:tc>
          <w:tcPr>
            <w:tcW w:w="1416" w:type="pct"/>
          </w:tcPr>
          <w:p w14:paraId="462D2D2D" w14:textId="37DDEE3E" w:rsidR="00E978FC" w:rsidRPr="00E57E03" w:rsidRDefault="00E978FC" w:rsidP="00E978F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12. The resolutions and decisions are approved by the Board of Management if the consent is obtained from majority of participants; in case of equal number of votes, the Chairman shall have the cast vote.</w:t>
            </w:r>
          </w:p>
        </w:tc>
        <w:tc>
          <w:tcPr>
            <w:tcW w:w="1434" w:type="pct"/>
          </w:tcPr>
          <w:p w14:paraId="4E2AE679" w14:textId="58099EEF" w:rsidR="00E978FC" w:rsidRPr="00E57E03" w:rsidRDefault="00E978FC" w:rsidP="00E978FC">
            <w:pPr>
              <w:widowControl w:val="0"/>
              <w:adjustRightInd w:val="0"/>
              <w:snapToGrid w:val="0"/>
              <w:spacing w:before="60" w:after="60"/>
              <w:jc w:val="both"/>
              <w:rPr>
                <w:rFonts w:cs="Times New Roman"/>
                <w:bCs/>
                <w:color w:val="000000" w:themeColor="text1"/>
                <w:sz w:val="22"/>
              </w:rPr>
            </w:pPr>
            <w:r w:rsidRPr="00E57E03">
              <w:rPr>
                <w:rFonts w:cs="Times New Roman"/>
                <w:i/>
                <w:color w:val="000000" w:themeColor="text1"/>
                <w:sz w:val="22"/>
              </w:rPr>
              <w:t>Remove this provision.</w:t>
            </w:r>
          </w:p>
        </w:tc>
        <w:tc>
          <w:tcPr>
            <w:tcW w:w="1272" w:type="pct"/>
          </w:tcPr>
          <w:p w14:paraId="5ED8829A" w14:textId="6D831E63" w:rsidR="00E978FC" w:rsidRPr="00E57E03" w:rsidRDefault="00E978FC" w:rsidP="00E978F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The reason is that it is identical with Article 21, Clause 3 of the Draft Regulation on approval of the Board of Management’s resolutions and decisions.</w:t>
            </w:r>
          </w:p>
        </w:tc>
      </w:tr>
      <w:tr w:rsidR="001842D8" w:rsidRPr="00E57E03" w14:paraId="34D453D2" w14:textId="77777777" w:rsidTr="00277F65">
        <w:trPr>
          <w:trHeight w:val="20"/>
        </w:trPr>
        <w:tc>
          <w:tcPr>
            <w:tcW w:w="261" w:type="pct"/>
          </w:tcPr>
          <w:p w14:paraId="5C0DDD0C" w14:textId="77777777" w:rsidR="001842D8" w:rsidRPr="00E57E03" w:rsidRDefault="001842D8" w:rsidP="001842D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1AE5ED41" w14:textId="0EBBCDE6" w:rsidR="001842D8" w:rsidRPr="00E57E03" w:rsidRDefault="001842D8" w:rsidP="001842D8">
            <w:pPr>
              <w:widowControl w:val="0"/>
              <w:adjustRightInd w:val="0"/>
              <w:snapToGrid w:val="0"/>
              <w:spacing w:before="60" w:after="60"/>
              <w:jc w:val="both"/>
              <w:rPr>
                <w:rFonts w:cs="Times New Roman"/>
                <w:sz w:val="22"/>
              </w:rPr>
            </w:pPr>
            <w:r w:rsidRPr="00E57E03">
              <w:rPr>
                <w:rFonts w:cs="Times New Roman"/>
                <w:sz w:val="22"/>
              </w:rPr>
              <w:t>Article 20, Clause 2</w:t>
            </w:r>
          </w:p>
        </w:tc>
        <w:tc>
          <w:tcPr>
            <w:tcW w:w="1416" w:type="pct"/>
          </w:tcPr>
          <w:p w14:paraId="01CB8C91" w14:textId="790E7429" w:rsidR="001842D8" w:rsidRPr="00E57E03" w:rsidRDefault="001842D8" w:rsidP="001842D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 xml:space="preserve">2. In the event that the Chairman and Minutes recorder refuse to sign the meeting minutes but if other members of the </w:t>
            </w:r>
            <w:r w:rsidR="006F6ADF" w:rsidRPr="00E57E03">
              <w:rPr>
                <w:rFonts w:cs="Times New Roman"/>
                <w:color w:val="000000" w:themeColor="text1"/>
                <w:sz w:val="22"/>
              </w:rPr>
              <w:t>Board of Management</w:t>
            </w:r>
            <w:r w:rsidRPr="00E57E03">
              <w:rPr>
                <w:rFonts w:cs="Times New Roman"/>
                <w:color w:val="000000" w:themeColor="text1"/>
                <w:sz w:val="22"/>
              </w:rPr>
              <w:t xml:space="preserve"> participating into the meeting sign and complete contents are available as specified at </w:t>
            </w:r>
            <w:r w:rsidRPr="00E57E03">
              <w:rPr>
                <w:rFonts w:cs="Times New Roman"/>
                <w:color w:val="000000" w:themeColor="text1"/>
                <w:sz w:val="22"/>
              </w:rPr>
              <w:lastRenderedPageBreak/>
              <w:t>points a, b, c, d, dd, e, g and h, Clause 1 of this Article, then the Minutes shall be effective.</w:t>
            </w:r>
          </w:p>
        </w:tc>
        <w:tc>
          <w:tcPr>
            <w:tcW w:w="1434" w:type="pct"/>
          </w:tcPr>
          <w:p w14:paraId="78DC41C2" w14:textId="291CF906" w:rsidR="001842D8" w:rsidRPr="00E57E03" w:rsidRDefault="001842D8" w:rsidP="001842D8">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lastRenderedPageBreak/>
              <w:t xml:space="preserve">2. In the event that the Chairman and Minutes recorder refuse to sign the meeting minutes but if other members of the Board of Management who participate </w:t>
            </w:r>
            <w:r w:rsidRPr="00E57E03">
              <w:rPr>
                <w:rFonts w:cs="Times New Roman"/>
                <w:color w:val="000000" w:themeColor="text1"/>
                <w:sz w:val="22"/>
                <w:u w:val="single"/>
              </w:rPr>
              <w:t>and agree to approve the minutes sign</w:t>
            </w:r>
            <w:r w:rsidRPr="00E57E03">
              <w:rPr>
                <w:rFonts w:cs="Times New Roman"/>
                <w:color w:val="000000" w:themeColor="text1"/>
                <w:sz w:val="22"/>
              </w:rPr>
              <w:t xml:space="preserve"> and complete contents are </w:t>
            </w:r>
            <w:r w:rsidRPr="00E57E03">
              <w:rPr>
                <w:rFonts w:cs="Times New Roman"/>
                <w:color w:val="000000" w:themeColor="text1"/>
                <w:sz w:val="22"/>
              </w:rPr>
              <w:lastRenderedPageBreak/>
              <w:t xml:space="preserve">available as specified at points a, b, c, d, dd, e, g and h, Clause 1 of this Article, then the Minutes shall be effective. </w:t>
            </w:r>
            <w:r w:rsidRPr="00E57E03">
              <w:rPr>
                <w:rFonts w:cs="Times New Roman"/>
                <w:color w:val="000000" w:themeColor="text1"/>
                <w:sz w:val="22"/>
                <w:u w:val="single"/>
              </w:rPr>
              <w:t>The minutes shall specify the refusal on signing the minutes by the Chairman and the minutes recorder. The recorder is jointly responsible for accuracy and honesty of the minutes of BOM Meetings. The Chairman and minutes recorder take personal responsibilities for damages incurred by the enterprise due to refusal of signing the minutes as prescribed by the Law on Enterprises, Petrolimex Charter and the relevant laws.</w:t>
            </w:r>
          </w:p>
        </w:tc>
        <w:tc>
          <w:tcPr>
            <w:tcW w:w="1272" w:type="pct"/>
          </w:tcPr>
          <w:p w14:paraId="34D39A54" w14:textId="578A2C7A" w:rsidR="001842D8" w:rsidRPr="00E57E03" w:rsidRDefault="001842D8" w:rsidP="001842D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Amend to ensure compliance with of the Law No. 03/2022/QH15, Article 7, Clause 6.</w:t>
            </w:r>
          </w:p>
        </w:tc>
      </w:tr>
      <w:tr w:rsidR="00D3712C" w:rsidRPr="00E57E03" w14:paraId="69525E21" w14:textId="77777777" w:rsidTr="00277F65">
        <w:trPr>
          <w:trHeight w:val="20"/>
        </w:trPr>
        <w:tc>
          <w:tcPr>
            <w:tcW w:w="261" w:type="pct"/>
          </w:tcPr>
          <w:p w14:paraId="76A85D66" w14:textId="77777777" w:rsidR="00D3712C" w:rsidRPr="00E57E03" w:rsidRDefault="00D3712C" w:rsidP="00D3712C">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34140FA3" w14:textId="62F9C68A" w:rsidR="00D3712C" w:rsidRPr="00E57E03" w:rsidRDefault="00D3712C" w:rsidP="00D3712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Article 21, Clause 3</w:t>
            </w:r>
          </w:p>
        </w:tc>
        <w:tc>
          <w:tcPr>
            <w:tcW w:w="1416" w:type="pct"/>
          </w:tcPr>
          <w:p w14:paraId="23427826" w14:textId="77777777" w:rsidR="00D3712C" w:rsidRPr="00E57E03" w:rsidRDefault="00D3712C" w:rsidP="00D3712C">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3. Approval of the BOM’s resolutions and decisions at the meetings: Resolutions and decisions of the BOM shall be adopted upon approval by a majority of attending members, including votes in writing. In the event of a tie, the final decision shall rest with the vote of the Chairperson of the BOM/the chairman of the meetings.</w:t>
            </w:r>
          </w:p>
          <w:p w14:paraId="00A8A42E" w14:textId="77777777" w:rsidR="00D3712C" w:rsidRPr="00E57E03" w:rsidRDefault="00D3712C" w:rsidP="00D3712C">
            <w:pPr>
              <w:widowControl w:val="0"/>
              <w:adjustRightInd w:val="0"/>
              <w:snapToGrid w:val="0"/>
              <w:spacing w:before="60" w:after="60"/>
              <w:jc w:val="both"/>
              <w:rPr>
                <w:rFonts w:cs="Times New Roman"/>
                <w:bCs/>
                <w:color w:val="000000" w:themeColor="text1"/>
                <w:sz w:val="22"/>
              </w:rPr>
            </w:pPr>
          </w:p>
        </w:tc>
        <w:tc>
          <w:tcPr>
            <w:tcW w:w="1434" w:type="pct"/>
          </w:tcPr>
          <w:p w14:paraId="60AF2285" w14:textId="4807FF61" w:rsidR="00D3712C" w:rsidRPr="00E57E03" w:rsidRDefault="00D3712C" w:rsidP="00D3712C">
            <w:pPr>
              <w:widowControl w:val="0"/>
              <w:adjustRightInd w:val="0"/>
              <w:snapToGrid w:val="0"/>
              <w:spacing w:before="60" w:after="60"/>
              <w:jc w:val="both"/>
              <w:rPr>
                <w:rFonts w:cs="Times New Roman"/>
                <w:bCs/>
                <w:color w:val="000000" w:themeColor="text1"/>
                <w:sz w:val="22"/>
              </w:rPr>
            </w:pPr>
            <w:r w:rsidRPr="004E539E">
              <w:rPr>
                <w:rFonts w:cs="Times New Roman"/>
                <w:color w:val="000000" w:themeColor="text1"/>
                <w:sz w:val="22"/>
              </w:rPr>
              <w:t xml:space="preserve">3. </w:t>
            </w:r>
            <w:r w:rsidRPr="00E57E03">
              <w:rPr>
                <w:rFonts w:cs="Times New Roman"/>
                <w:color w:val="000000" w:themeColor="text1"/>
                <w:sz w:val="22"/>
              </w:rPr>
              <w:t xml:space="preserve">Approval of the BOM’s resolutions and decisions at the meetings: Resolutions and decisions of the BOM shall be adopted upon approval by a majority of attending members, including </w:t>
            </w:r>
            <w:r w:rsidRPr="00E57E03">
              <w:rPr>
                <w:rFonts w:cs="Times New Roman"/>
                <w:strike/>
                <w:color w:val="000000" w:themeColor="text1"/>
                <w:sz w:val="22"/>
              </w:rPr>
              <w:t xml:space="preserve">written </w:t>
            </w:r>
            <w:r w:rsidRPr="00E57E03">
              <w:rPr>
                <w:rFonts w:cs="Times New Roman"/>
                <w:color w:val="000000" w:themeColor="text1"/>
                <w:sz w:val="22"/>
              </w:rPr>
              <w:t xml:space="preserve">votes </w:t>
            </w:r>
            <w:r w:rsidRPr="00E57E03">
              <w:rPr>
                <w:rFonts w:cs="Times New Roman"/>
                <w:color w:val="000000" w:themeColor="text1"/>
                <w:sz w:val="22"/>
                <w:u w:val="single"/>
              </w:rPr>
              <w:t>cast by mail, fax, email or other means.</w:t>
            </w:r>
            <w:r w:rsidRPr="00E57E03">
              <w:rPr>
                <w:rFonts w:cs="Times New Roman"/>
                <w:color w:val="000000" w:themeColor="text1"/>
                <w:sz w:val="22"/>
              </w:rPr>
              <w:t xml:space="preserve"> In the event of a tie, the final decision shall rest with the vote of the Chairperson of the BOM/the chairman of the meetings.</w:t>
            </w:r>
          </w:p>
        </w:tc>
        <w:tc>
          <w:tcPr>
            <w:tcW w:w="1272" w:type="pct"/>
          </w:tcPr>
          <w:p w14:paraId="75DD0134" w14:textId="46CDD1CF" w:rsidR="00D3712C" w:rsidRPr="00E57E03" w:rsidRDefault="00D3712C" w:rsidP="00D3712C">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Amend the provision by removing “written” letter and add vote forms as prescribed by Article 30, Clause 9 of the 2026 Draft Charter and Article 19 of the Draft Regulation.</w:t>
            </w:r>
          </w:p>
          <w:p w14:paraId="39CC2FCB" w14:textId="77777777" w:rsidR="00D3712C" w:rsidRPr="00E57E03" w:rsidRDefault="00D3712C" w:rsidP="00D3712C">
            <w:pPr>
              <w:widowControl w:val="0"/>
              <w:adjustRightInd w:val="0"/>
              <w:snapToGrid w:val="0"/>
              <w:spacing w:before="60" w:after="60"/>
              <w:jc w:val="both"/>
              <w:rPr>
                <w:rFonts w:cs="Times New Roman"/>
                <w:color w:val="000000" w:themeColor="text1"/>
                <w:sz w:val="22"/>
              </w:rPr>
            </w:pPr>
          </w:p>
        </w:tc>
      </w:tr>
      <w:tr w:rsidR="003010F3" w:rsidRPr="00E57E03" w14:paraId="56918572" w14:textId="77777777" w:rsidTr="0024588C">
        <w:trPr>
          <w:trHeight w:val="20"/>
        </w:trPr>
        <w:tc>
          <w:tcPr>
            <w:tcW w:w="261" w:type="pct"/>
          </w:tcPr>
          <w:p w14:paraId="619C7D38" w14:textId="77777777" w:rsidR="003010F3" w:rsidRPr="00E57E03" w:rsidRDefault="003010F3" w:rsidP="003010F3">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617" w:type="pct"/>
          </w:tcPr>
          <w:p w14:paraId="4B7CBCFD" w14:textId="1218FA6A" w:rsidR="003010F3" w:rsidRPr="00E57E03" w:rsidRDefault="003010F3" w:rsidP="003010F3">
            <w:pPr>
              <w:widowControl w:val="0"/>
              <w:adjustRightInd w:val="0"/>
              <w:snapToGrid w:val="0"/>
              <w:spacing w:before="60" w:after="60" w:line="276" w:lineRule="auto"/>
              <w:jc w:val="both"/>
              <w:rPr>
                <w:rFonts w:cs="Times New Roman"/>
                <w:color w:val="000000" w:themeColor="text1"/>
                <w:sz w:val="22"/>
              </w:rPr>
            </w:pPr>
            <w:r w:rsidRPr="004E539E">
              <w:rPr>
                <w:rFonts w:cs="Times New Roman"/>
                <w:color w:val="000000" w:themeColor="text1"/>
                <w:sz w:val="22"/>
              </w:rPr>
              <w:t>Article 23, Clause 3</w:t>
            </w:r>
          </w:p>
        </w:tc>
        <w:tc>
          <w:tcPr>
            <w:tcW w:w="1416" w:type="pct"/>
          </w:tcPr>
          <w:p w14:paraId="60229674" w14:textId="7E9C7584" w:rsidR="003010F3" w:rsidRPr="00E57E03" w:rsidRDefault="003010F3" w:rsidP="003010F3">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Article 23. Submission of annual reports</w:t>
            </w:r>
          </w:p>
          <w:p w14:paraId="32BCD637" w14:textId="535549C1" w:rsidR="003010F3" w:rsidRPr="00E57E03" w:rsidRDefault="003010F3" w:rsidP="003010F3">
            <w:pPr>
              <w:widowControl w:val="0"/>
              <w:adjustRightInd w:val="0"/>
              <w:snapToGrid w:val="0"/>
              <w:spacing w:before="60" w:after="60" w:line="276" w:lineRule="auto"/>
              <w:jc w:val="both"/>
              <w:rPr>
                <w:rFonts w:cs="Times New Roman"/>
                <w:bCs/>
                <w:color w:val="000000" w:themeColor="text1"/>
                <w:sz w:val="22"/>
              </w:rPr>
            </w:pPr>
            <w:r w:rsidRPr="00E57E03">
              <w:rPr>
                <w:rFonts w:cs="Times New Roman"/>
                <w:color w:val="000000" w:themeColor="text1"/>
                <w:sz w:val="22"/>
              </w:rPr>
              <w:t xml:space="preserve">3. The reports specified at clauses 1 &amp; 2 of this Article, appraisal report submitted by the Supervisory Board and auditor’s report must be kept at Petrolimex’s registered office. Shareholder holding Petrolimex’s shares at least 1 consecutive year may himself or with his lawyer or accountant and </w:t>
            </w:r>
            <w:r w:rsidRPr="00E57E03">
              <w:rPr>
                <w:rFonts w:cs="Times New Roman"/>
                <w:color w:val="000000" w:themeColor="text1"/>
                <w:sz w:val="22"/>
              </w:rPr>
              <w:lastRenderedPageBreak/>
              <w:t>certified auditors directly review the reports as specified in this Article.</w:t>
            </w:r>
          </w:p>
          <w:p w14:paraId="0B6B021E" w14:textId="0A523287" w:rsidR="003010F3" w:rsidRPr="00E57E03" w:rsidRDefault="003010F3" w:rsidP="003010F3">
            <w:pPr>
              <w:widowControl w:val="0"/>
              <w:adjustRightInd w:val="0"/>
              <w:snapToGrid w:val="0"/>
              <w:spacing w:before="60" w:after="60" w:line="276" w:lineRule="auto"/>
              <w:jc w:val="both"/>
              <w:rPr>
                <w:rFonts w:cs="Times New Roman"/>
                <w:bCs/>
                <w:color w:val="000000" w:themeColor="text1"/>
                <w:sz w:val="22"/>
              </w:rPr>
            </w:pPr>
          </w:p>
        </w:tc>
        <w:tc>
          <w:tcPr>
            <w:tcW w:w="1434" w:type="pct"/>
          </w:tcPr>
          <w:p w14:paraId="233CE1F6" w14:textId="5959019E" w:rsidR="003010F3" w:rsidRPr="00E57E03" w:rsidRDefault="00E90B5C" w:rsidP="003010F3">
            <w:pPr>
              <w:widowControl w:val="0"/>
              <w:adjustRightInd w:val="0"/>
              <w:snapToGrid w:val="0"/>
              <w:spacing w:before="60" w:after="60" w:line="276" w:lineRule="auto"/>
              <w:jc w:val="both"/>
              <w:rPr>
                <w:rFonts w:cs="Times New Roman"/>
                <w:color w:val="000000" w:themeColor="text1"/>
                <w:sz w:val="22"/>
                <w:u w:val="single"/>
              </w:rPr>
            </w:pPr>
            <w:r w:rsidRPr="00E57E03">
              <w:rPr>
                <w:rFonts w:cs="Times New Roman"/>
                <w:color w:val="000000" w:themeColor="text1"/>
                <w:sz w:val="22"/>
              </w:rPr>
              <w:lastRenderedPageBreak/>
              <w:t xml:space="preserve">3. The reports specified at clauses 1 &amp; 2 of this Article, appraisal report submitted by the Supervisory Board and auditor’s report must be kept at Petrolimex’s registered office </w:t>
            </w:r>
            <w:r w:rsidRPr="00E57E03">
              <w:rPr>
                <w:rFonts w:cs="Times New Roman"/>
                <w:color w:val="000000" w:themeColor="text1"/>
                <w:sz w:val="22"/>
                <w:u w:val="single"/>
              </w:rPr>
              <w:t>and not later than 10 working days before the Annual General Meeting of Shareholders is opened.</w:t>
            </w:r>
            <w:r w:rsidRPr="00E57E03">
              <w:rPr>
                <w:rFonts w:cs="Times New Roman"/>
                <w:color w:val="000000" w:themeColor="text1"/>
                <w:sz w:val="22"/>
              </w:rPr>
              <w:t xml:space="preserve"> Shareholder holding Petrolimex’s shares at least 1 consecutive year may himself </w:t>
            </w:r>
            <w:r w:rsidRPr="00E57E03">
              <w:rPr>
                <w:rFonts w:cs="Times New Roman"/>
                <w:color w:val="000000" w:themeColor="text1"/>
                <w:sz w:val="22"/>
              </w:rPr>
              <w:lastRenderedPageBreak/>
              <w:t>or with his lawyer or accountant and certified auditors directly review the reports as specified in this Article.</w:t>
            </w:r>
          </w:p>
        </w:tc>
        <w:tc>
          <w:tcPr>
            <w:tcW w:w="1272" w:type="pct"/>
          </w:tcPr>
          <w:p w14:paraId="71B56285" w14:textId="39262D98" w:rsidR="0039127D" w:rsidRPr="00E57E03" w:rsidRDefault="003010F3" w:rsidP="003010F3">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lastRenderedPageBreak/>
              <w:t>Add to comply with Article 18, Clause 3 of the Regulation Form.</w:t>
            </w:r>
          </w:p>
        </w:tc>
      </w:tr>
      <w:tr w:rsidR="003010F3" w:rsidRPr="00E57E03" w14:paraId="10846974" w14:textId="77777777" w:rsidTr="0024588C">
        <w:trPr>
          <w:trHeight w:val="20"/>
        </w:trPr>
        <w:tc>
          <w:tcPr>
            <w:tcW w:w="261" w:type="pct"/>
          </w:tcPr>
          <w:p w14:paraId="22882CB7" w14:textId="77777777" w:rsidR="003010F3" w:rsidRPr="00E57E03" w:rsidRDefault="003010F3" w:rsidP="003010F3">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617" w:type="pct"/>
          </w:tcPr>
          <w:p w14:paraId="5D2839C7" w14:textId="08AFE65B" w:rsidR="003010F3" w:rsidRPr="00E57E03" w:rsidRDefault="003010F3" w:rsidP="003010F3">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Article 24</w:t>
            </w:r>
          </w:p>
        </w:tc>
        <w:tc>
          <w:tcPr>
            <w:tcW w:w="1416" w:type="pct"/>
          </w:tcPr>
          <w:p w14:paraId="6B3D6434" w14:textId="398BF984" w:rsidR="003010F3" w:rsidRPr="00E57E03" w:rsidRDefault="003010F3" w:rsidP="003010F3">
            <w:pPr>
              <w:widowControl w:val="0"/>
              <w:adjustRightInd w:val="0"/>
              <w:snapToGrid w:val="0"/>
              <w:spacing w:before="60" w:after="60" w:line="276" w:lineRule="auto"/>
              <w:jc w:val="both"/>
              <w:rPr>
                <w:rFonts w:cs="Times New Roman"/>
                <w:bCs/>
                <w:i/>
                <w:iCs/>
                <w:color w:val="000000" w:themeColor="text1"/>
                <w:sz w:val="22"/>
              </w:rPr>
            </w:pPr>
            <w:r w:rsidRPr="00E57E03">
              <w:rPr>
                <w:rFonts w:cs="Times New Roman"/>
                <w:i/>
                <w:color w:val="000000" w:themeColor="text1"/>
                <w:sz w:val="22"/>
              </w:rPr>
              <w:t>Not specified</w:t>
            </w:r>
          </w:p>
        </w:tc>
        <w:tc>
          <w:tcPr>
            <w:tcW w:w="1434" w:type="pct"/>
          </w:tcPr>
          <w:p w14:paraId="29D71714" w14:textId="58308F69" w:rsidR="003010F3" w:rsidRPr="00E57E03" w:rsidRDefault="003010F3" w:rsidP="003010F3">
            <w:pPr>
              <w:widowControl w:val="0"/>
              <w:adjustRightInd w:val="0"/>
              <w:snapToGrid w:val="0"/>
              <w:spacing w:before="60" w:after="60" w:line="276" w:lineRule="auto"/>
              <w:jc w:val="both"/>
              <w:rPr>
                <w:rFonts w:cs="Times New Roman"/>
                <w:b/>
                <w:bCs/>
                <w:color w:val="000000" w:themeColor="text1"/>
                <w:sz w:val="22"/>
              </w:rPr>
            </w:pPr>
            <w:r w:rsidRPr="00E57E03">
              <w:rPr>
                <w:rFonts w:cs="Times New Roman"/>
                <w:b/>
                <w:color w:val="000000" w:themeColor="text1"/>
                <w:sz w:val="22"/>
              </w:rPr>
              <w:t>Article 24. Remuneration, bonus and other benefits of members of the Board of Management</w:t>
            </w:r>
          </w:p>
          <w:p w14:paraId="2D3A01B9" w14:textId="435F5E62" w:rsidR="003010F3" w:rsidRPr="00E57E03" w:rsidRDefault="003010F3" w:rsidP="002D01B4">
            <w:pPr>
              <w:widowControl w:val="0"/>
              <w:adjustRightInd w:val="0"/>
              <w:snapToGrid w:val="0"/>
              <w:spacing w:before="60" w:after="60" w:line="276" w:lineRule="auto"/>
              <w:jc w:val="both"/>
              <w:rPr>
                <w:rFonts w:cs="Times New Roman"/>
                <w:i/>
                <w:iCs/>
                <w:color w:val="000000" w:themeColor="text1"/>
                <w:sz w:val="22"/>
              </w:rPr>
            </w:pPr>
            <w:r w:rsidRPr="00E57E03">
              <w:rPr>
                <w:rFonts w:cs="Times New Roman"/>
                <w:color w:val="000000" w:themeColor="text1"/>
                <w:sz w:val="22"/>
              </w:rPr>
              <w:t xml:space="preserve">6. The BOM members may be covered </w:t>
            </w:r>
            <w:r w:rsidR="002D01B4" w:rsidRPr="00E57E03">
              <w:rPr>
                <w:rFonts w:cs="Times New Roman"/>
                <w:color w:val="000000" w:themeColor="text1"/>
                <w:sz w:val="22"/>
              </w:rPr>
              <w:t xml:space="preserve">by </w:t>
            </w:r>
            <w:r w:rsidRPr="00E57E03">
              <w:rPr>
                <w:rFonts w:cs="Times New Roman"/>
                <w:color w:val="000000" w:themeColor="text1"/>
                <w:sz w:val="22"/>
              </w:rPr>
              <w:t>the liability insurance by Petrolimex after approval is obtained from the General Meeting of Shareholders. This insurance excludes liability insurance for the Board member related to the violations to the law and the Company’s Charter.</w:t>
            </w:r>
          </w:p>
        </w:tc>
        <w:tc>
          <w:tcPr>
            <w:tcW w:w="1272" w:type="pct"/>
          </w:tcPr>
          <w:p w14:paraId="2560E02A" w14:textId="6BA83B16" w:rsidR="003010F3" w:rsidRPr="00E57E03" w:rsidRDefault="003010F3" w:rsidP="003010F3">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 xml:space="preserve">Add to comply with Article 19, Clause 6 of the Regulation Form. </w:t>
            </w:r>
          </w:p>
        </w:tc>
      </w:tr>
      <w:tr w:rsidR="006608EA" w:rsidRPr="00E57E03" w14:paraId="33EC9A89" w14:textId="383C6CC2" w:rsidTr="0024588C">
        <w:trPr>
          <w:trHeight w:val="20"/>
        </w:trPr>
        <w:tc>
          <w:tcPr>
            <w:tcW w:w="261" w:type="pct"/>
          </w:tcPr>
          <w:p w14:paraId="24040EEC" w14:textId="77777777" w:rsidR="006608EA" w:rsidRPr="00E57E03" w:rsidRDefault="006608EA" w:rsidP="00B7620F">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617" w:type="pct"/>
          </w:tcPr>
          <w:p w14:paraId="4ABD3A04" w14:textId="187A9B1B" w:rsidR="006608EA" w:rsidRPr="00E57E03" w:rsidRDefault="006608EA" w:rsidP="00B7620F">
            <w:pPr>
              <w:widowControl w:val="0"/>
              <w:adjustRightInd w:val="0"/>
              <w:snapToGrid w:val="0"/>
              <w:spacing w:before="60" w:after="60" w:line="276" w:lineRule="auto"/>
              <w:rPr>
                <w:rFonts w:cs="Times New Roman"/>
                <w:color w:val="000000" w:themeColor="text1"/>
                <w:sz w:val="22"/>
              </w:rPr>
            </w:pPr>
          </w:p>
        </w:tc>
        <w:tc>
          <w:tcPr>
            <w:tcW w:w="1416" w:type="pct"/>
          </w:tcPr>
          <w:p w14:paraId="189F06D5" w14:textId="4C06AD12" w:rsidR="006608EA" w:rsidRPr="00E57E03" w:rsidRDefault="000928B4" w:rsidP="00B7620F">
            <w:pPr>
              <w:widowControl w:val="0"/>
              <w:adjustRightInd w:val="0"/>
              <w:snapToGrid w:val="0"/>
              <w:spacing w:before="60" w:after="60" w:line="276" w:lineRule="auto"/>
              <w:jc w:val="both"/>
              <w:rPr>
                <w:rFonts w:cs="Times New Roman"/>
                <w:i/>
                <w:sz w:val="22"/>
              </w:rPr>
            </w:pPr>
            <w:r w:rsidRPr="00E57E03">
              <w:rPr>
                <w:rFonts w:cs="Times New Roman"/>
                <w:i/>
                <w:sz w:val="22"/>
              </w:rPr>
              <w:t>Not specified</w:t>
            </w:r>
          </w:p>
        </w:tc>
        <w:tc>
          <w:tcPr>
            <w:tcW w:w="1434" w:type="pct"/>
          </w:tcPr>
          <w:p w14:paraId="04AF8DE6" w14:textId="329D24D7" w:rsidR="006608EA" w:rsidRPr="00E57E03" w:rsidRDefault="00D818CB" w:rsidP="00B7620F">
            <w:pPr>
              <w:widowControl w:val="0"/>
              <w:adjustRightInd w:val="0"/>
              <w:snapToGrid w:val="0"/>
              <w:spacing w:before="60" w:after="60" w:line="276" w:lineRule="auto"/>
              <w:jc w:val="both"/>
              <w:rPr>
                <w:rFonts w:cs="Times New Roman"/>
                <w:b/>
                <w:sz w:val="22"/>
              </w:rPr>
            </w:pPr>
            <w:r w:rsidRPr="00E57E03">
              <w:rPr>
                <w:rFonts w:cs="Times New Roman"/>
                <w:b/>
                <w:sz w:val="22"/>
              </w:rPr>
              <w:t>Article 26. Report on business performance</w:t>
            </w:r>
          </w:p>
          <w:p w14:paraId="50FB3567" w14:textId="4ED208E0" w:rsidR="00D818CB" w:rsidRPr="00E57E03" w:rsidRDefault="001A24B9" w:rsidP="00B7620F">
            <w:pPr>
              <w:widowControl w:val="0"/>
              <w:adjustRightInd w:val="0"/>
              <w:snapToGrid w:val="0"/>
              <w:spacing w:before="60" w:after="60" w:line="276" w:lineRule="auto"/>
              <w:jc w:val="both"/>
              <w:rPr>
                <w:rFonts w:cs="Times New Roman"/>
                <w:sz w:val="22"/>
              </w:rPr>
            </w:pPr>
            <w:r w:rsidRPr="00E57E03">
              <w:rPr>
                <w:rFonts w:cs="Times New Roman"/>
                <w:sz w:val="22"/>
              </w:rPr>
              <w:t>The Board of Management, the Chairman and BOM members of Petrolimex shall be responsible for the accuracy and truthfulness of reports in accordance with the Law on Management and Investment of State Capital in Enterprises.</w:t>
            </w:r>
          </w:p>
        </w:tc>
        <w:tc>
          <w:tcPr>
            <w:tcW w:w="1272" w:type="pct"/>
          </w:tcPr>
          <w:p w14:paraId="3C8E234A" w14:textId="4F7B30F2" w:rsidR="006608EA" w:rsidRPr="00E57E03" w:rsidRDefault="00605D26" w:rsidP="00B7620F">
            <w:pPr>
              <w:widowControl w:val="0"/>
              <w:adjustRightInd w:val="0"/>
              <w:snapToGrid w:val="0"/>
              <w:spacing w:before="60" w:after="60" w:line="276" w:lineRule="auto"/>
              <w:jc w:val="both"/>
              <w:rPr>
                <w:rFonts w:cs="Times New Roman"/>
                <w:color w:val="000000" w:themeColor="text1"/>
                <w:sz w:val="22"/>
              </w:rPr>
            </w:pPr>
            <w:r w:rsidRPr="00E57E03">
              <w:rPr>
                <w:rFonts w:cs="Times New Roman"/>
                <w:color w:val="000000" w:themeColor="text1"/>
                <w:sz w:val="22"/>
              </w:rPr>
              <w:t>Add to comply with the Law 68, Article 54, Clause 2 regarding report on business performance.</w:t>
            </w:r>
          </w:p>
        </w:tc>
      </w:tr>
      <w:tr w:rsidR="002A3068" w:rsidRPr="00E57E03" w14:paraId="6330CBFE" w14:textId="77777777" w:rsidTr="0024588C">
        <w:trPr>
          <w:trHeight w:val="20"/>
        </w:trPr>
        <w:tc>
          <w:tcPr>
            <w:tcW w:w="261" w:type="pct"/>
          </w:tcPr>
          <w:p w14:paraId="689988AB" w14:textId="77777777" w:rsidR="002A3068" w:rsidRPr="00E57E03" w:rsidRDefault="002A3068" w:rsidP="002A3068">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651CFB6F" w14:textId="3B1ECCB4" w:rsidR="002A3068" w:rsidRPr="00E57E03" w:rsidRDefault="002A3068" w:rsidP="002A3068">
            <w:pPr>
              <w:widowControl w:val="0"/>
              <w:adjustRightInd w:val="0"/>
              <w:snapToGrid w:val="0"/>
              <w:spacing w:before="60" w:after="60"/>
              <w:rPr>
                <w:rFonts w:cs="Times New Roman"/>
                <w:color w:val="000000" w:themeColor="text1"/>
                <w:sz w:val="22"/>
              </w:rPr>
            </w:pPr>
            <w:r w:rsidRPr="00E57E03">
              <w:rPr>
                <w:rFonts w:cs="Times New Roman"/>
                <w:color w:val="000000" w:themeColor="text1"/>
                <w:sz w:val="22"/>
              </w:rPr>
              <w:t>Article 27</w:t>
            </w:r>
          </w:p>
        </w:tc>
        <w:tc>
          <w:tcPr>
            <w:tcW w:w="1416" w:type="pct"/>
          </w:tcPr>
          <w:p w14:paraId="279FF9F2" w14:textId="77777777" w:rsidR="002A3068" w:rsidRPr="00E57E03" w:rsidRDefault="002A3068" w:rsidP="002A3068">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Article 27. Relationship with Board of Management</w:t>
            </w:r>
          </w:p>
          <w:p w14:paraId="23E6C012" w14:textId="77777777" w:rsidR="002A3068" w:rsidRPr="00E57E03" w:rsidRDefault="002A3068" w:rsidP="002A3068">
            <w:pPr>
              <w:widowControl w:val="0"/>
              <w:adjustRightInd w:val="0"/>
              <w:snapToGrid w:val="0"/>
              <w:spacing w:before="60" w:after="60"/>
              <w:jc w:val="both"/>
              <w:rPr>
                <w:rFonts w:cs="Times New Roman"/>
                <w:bCs/>
                <w:color w:val="000000" w:themeColor="text1"/>
                <w:sz w:val="22"/>
              </w:rPr>
            </w:pPr>
          </w:p>
        </w:tc>
        <w:tc>
          <w:tcPr>
            <w:tcW w:w="1434" w:type="pct"/>
          </w:tcPr>
          <w:p w14:paraId="666337D9" w14:textId="519B1143" w:rsidR="002A3068" w:rsidRPr="00E57E03" w:rsidRDefault="002A3068" w:rsidP="002A3068">
            <w:pPr>
              <w:widowControl w:val="0"/>
              <w:adjustRightInd w:val="0"/>
              <w:snapToGrid w:val="0"/>
              <w:spacing w:before="60" w:after="60"/>
              <w:jc w:val="both"/>
              <w:rPr>
                <w:rFonts w:cs="Times New Roman"/>
                <w:bCs/>
                <w:color w:val="000000" w:themeColor="text1"/>
                <w:sz w:val="22"/>
              </w:rPr>
            </w:pPr>
            <w:r w:rsidRPr="004E539E">
              <w:rPr>
                <w:rFonts w:cs="Times New Roman"/>
                <w:color w:val="000000" w:themeColor="text1"/>
                <w:sz w:val="22"/>
              </w:rPr>
              <w:t xml:space="preserve">Article 28. Relationship with the </w:t>
            </w:r>
            <w:r w:rsidRPr="00E57E03">
              <w:rPr>
                <w:rFonts w:cs="Times New Roman"/>
                <w:color w:val="000000" w:themeColor="text1"/>
                <w:sz w:val="22"/>
                <w:u w:val="single"/>
              </w:rPr>
              <w:t>Board of General Directors</w:t>
            </w:r>
          </w:p>
        </w:tc>
        <w:tc>
          <w:tcPr>
            <w:tcW w:w="1272" w:type="pct"/>
          </w:tcPr>
          <w:p w14:paraId="07625A59" w14:textId="44F22A48" w:rsidR="002A3068" w:rsidRPr="00E57E03" w:rsidRDefault="00010697" w:rsidP="00703B05">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The 2026 Draft Charter defines the concept of “Petrolimex Executives” including the General Director, Deputy General Directors, etc., the term “Board of General Directors” (Petrolimex’s Internal Governance Regulation, Operation Regulation of </w:t>
            </w:r>
            <w:r w:rsidRPr="00E57E03">
              <w:rPr>
                <w:rFonts w:cs="Times New Roman"/>
                <w:color w:val="000000" w:themeColor="text1"/>
                <w:sz w:val="22"/>
              </w:rPr>
              <w:lastRenderedPageBreak/>
              <w:t>the Management Apparatus of the Parent Company, etc.) Therefore, amend to standardize terms at Article 28 of the Draft Regulation.</w:t>
            </w:r>
          </w:p>
        </w:tc>
      </w:tr>
      <w:tr w:rsidR="00D818CB" w:rsidRPr="00E57E03" w14:paraId="459BB46F" w14:textId="77777777" w:rsidTr="0024588C">
        <w:trPr>
          <w:trHeight w:val="20"/>
        </w:trPr>
        <w:tc>
          <w:tcPr>
            <w:tcW w:w="261" w:type="pct"/>
          </w:tcPr>
          <w:p w14:paraId="53F170CE" w14:textId="77777777" w:rsidR="00D818CB" w:rsidRPr="00E57E03" w:rsidRDefault="00D818CB" w:rsidP="00B7620F">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617" w:type="pct"/>
          </w:tcPr>
          <w:p w14:paraId="70816BD2" w14:textId="2FA54D24" w:rsidR="00D818CB" w:rsidRPr="00E57E03" w:rsidRDefault="003055E3" w:rsidP="00B7620F">
            <w:pPr>
              <w:widowControl w:val="0"/>
              <w:adjustRightInd w:val="0"/>
              <w:snapToGrid w:val="0"/>
              <w:spacing w:before="60" w:after="60"/>
              <w:rPr>
                <w:rFonts w:cs="Times New Roman"/>
                <w:color w:val="000000" w:themeColor="text1"/>
                <w:sz w:val="22"/>
              </w:rPr>
            </w:pPr>
            <w:r w:rsidRPr="004E539E">
              <w:rPr>
                <w:rFonts w:cs="Times New Roman"/>
                <w:color w:val="000000" w:themeColor="text1"/>
                <w:sz w:val="22"/>
              </w:rPr>
              <w:t>Chapter VII</w:t>
            </w:r>
          </w:p>
        </w:tc>
        <w:tc>
          <w:tcPr>
            <w:tcW w:w="1416" w:type="pct"/>
          </w:tcPr>
          <w:p w14:paraId="5A89FF30" w14:textId="77777777" w:rsidR="00D818CB" w:rsidRPr="00E57E03" w:rsidRDefault="00A63A11"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CHAPTER VII. SUPERVISION OF THE IMPLEMENTATION OF BOM RESOLUTIONS AND DECISIONS</w:t>
            </w:r>
          </w:p>
          <w:p w14:paraId="6918BDEE" w14:textId="1F470007" w:rsidR="00A63A11" w:rsidRPr="00E57E03" w:rsidRDefault="00A63A11"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31. Supervision purpose</w:t>
            </w:r>
          </w:p>
          <w:p w14:paraId="10A0A95A" w14:textId="59A01C76" w:rsidR="00A63A11" w:rsidRPr="00E57E03" w:rsidRDefault="00A63A11"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32. Supervision principles</w:t>
            </w:r>
          </w:p>
          <w:p w14:paraId="30124117" w14:textId="3A015A97" w:rsidR="00A63A11" w:rsidRPr="00E57E03" w:rsidRDefault="00A63A11" w:rsidP="00B7620F">
            <w:pPr>
              <w:widowControl w:val="0"/>
              <w:adjustRightInd w:val="0"/>
              <w:snapToGrid w:val="0"/>
              <w:spacing w:before="60" w:after="60"/>
              <w:jc w:val="both"/>
              <w:rPr>
                <w:rFonts w:cs="Times New Roman"/>
                <w:bCs/>
                <w:color w:val="000000" w:themeColor="text1"/>
                <w:sz w:val="22"/>
              </w:rPr>
            </w:pPr>
            <w:r w:rsidRPr="00E57E03">
              <w:rPr>
                <w:rFonts w:cs="Times New Roman"/>
                <w:color w:val="000000" w:themeColor="text1"/>
                <w:sz w:val="22"/>
              </w:rPr>
              <w:t>Article 33. Supervision method</w:t>
            </w:r>
          </w:p>
        </w:tc>
        <w:tc>
          <w:tcPr>
            <w:tcW w:w="1434" w:type="pct"/>
          </w:tcPr>
          <w:p w14:paraId="22865892" w14:textId="1C4DB1BC" w:rsidR="00FC4A97" w:rsidRPr="00E57E03" w:rsidRDefault="00FC4A97" w:rsidP="00FC4A97">
            <w:pPr>
              <w:widowControl w:val="0"/>
              <w:adjustRightInd w:val="0"/>
              <w:snapToGrid w:val="0"/>
              <w:spacing w:before="60" w:after="60"/>
              <w:jc w:val="both"/>
              <w:rPr>
                <w:rFonts w:cs="Times New Roman"/>
                <w:b/>
                <w:sz w:val="22"/>
              </w:rPr>
            </w:pPr>
            <w:r w:rsidRPr="00E57E03">
              <w:rPr>
                <w:rFonts w:cs="Times New Roman"/>
                <w:b/>
                <w:sz w:val="22"/>
              </w:rPr>
              <w:t>CHAPTER VII. SUPERVISION OF THE IMPLEMENTATION OF BOM RESOLUTIONS AND DECISIONS, OTHER SUPERVISION AND ACCOUNTABILITY</w:t>
            </w:r>
          </w:p>
          <w:p w14:paraId="42A76575" w14:textId="77777777" w:rsidR="00641FF8" w:rsidRPr="00E57E03" w:rsidRDefault="00641FF8" w:rsidP="00FC4A97">
            <w:pPr>
              <w:widowControl w:val="0"/>
              <w:adjustRightInd w:val="0"/>
              <w:snapToGrid w:val="0"/>
              <w:spacing w:before="60" w:after="60"/>
              <w:jc w:val="both"/>
              <w:rPr>
                <w:rFonts w:cs="Times New Roman"/>
                <w:b/>
                <w:sz w:val="22"/>
                <w:u w:val="single"/>
              </w:rPr>
            </w:pPr>
          </w:p>
          <w:p w14:paraId="5BF3103B" w14:textId="1163F47F" w:rsidR="00FC4A97" w:rsidRPr="00E57E03" w:rsidRDefault="00FC4A97" w:rsidP="00FC4A97">
            <w:pPr>
              <w:widowControl w:val="0"/>
              <w:adjustRightInd w:val="0"/>
              <w:snapToGrid w:val="0"/>
              <w:spacing w:before="60" w:after="60"/>
              <w:jc w:val="both"/>
              <w:rPr>
                <w:rFonts w:cs="Times New Roman"/>
                <w:b/>
                <w:sz w:val="22"/>
                <w:u w:val="single"/>
              </w:rPr>
            </w:pPr>
            <w:r w:rsidRPr="004E539E">
              <w:rPr>
                <w:rFonts w:cs="Times New Roman"/>
                <w:b/>
                <w:sz w:val="22"/>
                <w:u w:val="single"/>
              </w:rPr>
              <w:t>Section 1. Supervision of the implementation of BOM resolutions and decisions</w:t>
            </w:r>
          </w:p>
          <w:p w14:paraId="17008B52" w14:textId="194CD810" w:rsidR="00FC4A97" w:rsidRPr="00E57E03" w:rsidRDefault="00FC4A97" w:rsidP="00FC4A97">
            <w:pPr>
              <w:widowControl w:val="0"/>
              <w:adjustRightInd w:val="0"/>
              <w:snapToGrid w:val="0"/>
              <w:spacing w:before="60" w:after="60"/>
              <w:jc w:val="both"/>
              <w:rPr>
                <w:rFonts w:cs="Times New Roman"/>
                <w:b/>
                <w:sz w:val="22"/>
              </w:rPr>
            </w:pPr>
            <w:r w:rsidRPr="00E57E03">
              <w:rPr>
                <w:rFonts w:cs="Times New Roman"/>
                <w:b/>
                <w:sz w:val="22"/>
              </w:rPr>
              <w:t>Article 32. Supervision purpose</w:t>
            </w:r>
          </w:p>
          <w:p w14:paraId="0AED77B3" w14:textId="3409915D" w:rsidR="00FC4A97" w:rsidRPr="00E57E03" w:rsidRDefault="00FC4A97" w:rsidP="00FC4A97">
            <w:pPr>
              <w:widowControl w:val="0"/>
              <w:adjustRightInd w:val="0"/>
              <w:snapToGrid w:val="0"/>
              <w:spacing w:before="60" w:after="60"/>
              <w:jc w:val="both"/>
              <w:rPr>
                <w:rFonts w:cs="Times New Roman"/>
                <w:b/>
                <w:sz w:val="22"/>
              </w:rPr>
            </w:pPr>
            <w:r w:rsidRPr="00E57E03">
              <w:rPr>
                <w:rFonts w:cs="Times New Roman"/>
                <w:b/>
                <w:sz w:val="22"/>
              </w:rPr>
              <w:t>Article 33. Supervision principles</w:t>
            </w:r>
          </w:p>
          <w:p w14:paraId="32947ADC" w14:textId="6E1A756C" w:rsidR="00D818CB" w:rsidRPr="00E57E03" w:rsidRDefault="00FC4A97" w:rsidP="00FC4A97">
            <w:pPr>
              <w:widowControl w:val="0"/>
              <w:adjustRightInd w:val="0"/>
              <w:snapToGrid w:val="0"/>
              <w:spacing w:before="60" w:after="60"/>
              <w:jc w:val="both"/>
              <w:rPr>
                <w:rFonts w:cs="Times New Roman"/>
                <w:b/>
                <w:sz w:val="22"/>
              </w:rPr>
            </w:pPr>
            <w:r w:rsidRPr="00E57E03">
              <w:rPr>
                <w:rFonts w:cs="Times New Roman"/>
                <w:b/>
                <w:sz w:val="22"/>
              </w:rPr>
              <w:t>Article 34. Supervision method</w:t>
            </w:r>
          </w:p>
          <w:p w14:paraId="76DDC5C0" w14:textId="77777777" w:rsidR="00C5257A" w:rsidRPr="00E57E03" w:rsidRDefault="00C5257A" w:rsidP="00FC4A97">
            <w:pPr>
              <w:widowControl w:val="0"/>
              <w:adjustRightInd w:val="0"/>
              <w:snapToGrid w:val="0"/>
              <w:spacing w:before="60" w:after="60"/>
              <w:jc w:val="both"/>
              <w:rPr>
                <w:rFonts w:cs="Times New Roman"/>
                <w:b/>
                <w:sz w:val="22"/>
              </w:rPr>
            </w:pPr>
          </w:p>
          <w:p w14:paraId="3CBBF38D" w14:textId="07E372FA" w:rsidR="00FC4A97" w:rsidRPr="00E57E03" w:rsidRDefault="00FC4A97" w:rsidP="00FC4A97">
            <w:pPr>
              <w:widowControl w:val="0"/>
              <w:adjustRightInd w:val="0"/>
              <w:snapToGrid w:val="0"/>
              <w:spacing w:before="60" w:after="60"/>
              <w:jc w:val="both"/>
              <w:rPr>
                <w:rFonts w:cs="Times New Roman"/>
                <w:b/>
                <w:bCs/>
                <w:sz w:val="22"/>
                <w:u w:val="single"/>
              </w:rPr>
            </w:pPr>
            <w:r w:rsidRPr="004E539E">
              <w:rPr>
                <w:rFonts w:cs="Times New Roman"/>
                <w:b/>
                <w:sz w:val="22"/>
                <w:u w:val="single"/>
              </w:rPr>
              <w:t xml:space="preserve">Section 2. Internal supervision and </w:t>
            </w:r>
            <w:r w:rsidRPr="00E57E03">
              <w:rPr>
                <w:rFonts w:cs="Times New Roman"/>
                <w:b/>
                <w:sz w:val="22"/>
                <w:u w:val="single"/>
              </w:rPr>
              <w:t>accountability</w:t>
            </w:r>
          </w:p>
          <w:p w14:paraId="4504A63C" w14:textId="0817ABDF" w:rsidR="00FC4A97" w:rsidRPr="00E57E03" w:rsidRDefault="00C5257A" w:rsidP="00E115E4">
            <w:pPr>
              <w:widowControl w:val="0"/>
              <w:adjustRightInd w:val="0"/>
              <w:snapToGrid w:val="0"/>
              <w:spacing w:before="60" w:after="60"/>
              <w:jc w:val="both"/>
              <w:rPr>
                <w:rFonts w:cs="Times New Roman"/>
                <w:b/>
                <w:bCs/>
                <w:sz w:val="22"/>
                <w:u w:val="single"/>
              </w:rPr>
            </w:pPr>
            <w:r w:rsidRPr="00E57E03">
              <w:rPr>
                <w:rFonts w:cs="Times New Roman"/>
                <w:b/>
                <w:sz w:val="22"/>
                <w:u w:val="single"/>
              </w:rPr>
              <w:t>Article 35. Internal supervision and accountability</w:t>
            </w:r>
          </w:p>
          <w:p w14:paraId="0092467A" w14:textId="50DFCC76" w:rsidR="00BE5824" w:rsidRPr="00E57E03" w:rsidRDefault="00D2288A" w:rsidP="00E115E4">
            <w:pPr>
              <w:widowControl w:val="0"/>
              <w:adjustRightInd w:val="0"/>
              <w:snapToGrid w:val="0"/>
              <w:spacing w:before="60" w:after="60"/>
              <w:jc w:val="both"/>
              <w:rPr>
                <w:rFonts w:cs="Times New Roman"/>
                <w:sz w:val="22"/>
                <w:u w:val="single"/>
              </w:rPr>
            </w:pPr>
            <w:r w:rsidRPr="00E57E03">
              <w:rPr>
                <w:rFonts w:cs="Times New Roman"/>
                <w:sz w:val="22"/>
                <w:u w:val="single"/>
              </w:rPr>
              <w:t xml:space="preserve">1. The Board of Management shall conduct the internal supervision in accordance with the Law on Management and Investment of State Capital in Enterprises; promptly develop solutions and measures to prevent risks to the safety of corporate capital and assets in accordance with the internal supervision results; and fully and timely implement recommendations and warnings issued by supervisory, inspection, examination and audit </w:t>
            </w:r>
            <w:r w:rsidRPr="00E57E03">
              <w:rPr>
                <w:rFonts w:cs="Times New Roman"/>
                <w:sz w:val="22"/>
                <w:u w:val="single"/>
              </w:rPr>
              <w:lastRenderedPageBreak/>
              <w:t>authorities.</w:t>
            </w:r>
          </w:p>
          <w:p w14:paraId="4757D51D" w14:textId="67FA5A30" w:rsidR="00FC4A97" w:rsidRPr="00E57E03" w:rsidRDefault="00D2288A" w:rsidP="00F25360">
            <w:pPr>
              <w:widowControl w:val="0"/>
              <w:adjustRightInd w:val="0"/>
              <w:snapToGrid w:val="0"/>
              <w:spacing w:before="60" w:after="60"/>
              <w:jc w:val="both"/>
              <w:rPr>
                <w:rFonts w:cs="Times New Roman"/>
                <w:sz w:val="22"/>
                <w:u w:val="single"/>
              </w:rPr>
            </w:pPr>
            <w:r w:rsidRPr="00E57E03">
              <w:rPr>
                <w:rFonts w:cs="Times New Roman"/>
                <w:sz w:val="22"/>
                <w:u w:val="single"/>
              </w:rPr>
              <w:t xml:space="preserve">2. The Board of Management shall be accountable in accordance with the Law on Management and Investment of State Capital in Enterprises, at request of supervisory, inspection, examination and audit authorities, the owner’s representative agency and other competent authorities; and </w:t>
            </w:r>
            <w:r w:rsidR="00EE04D4" w:rsidRPr="00E57E03">
              <w:rPr>
                <w:rFonts w:cs="Times New Roman"/>
                <w:sz w:val="22"/>
                <w:u w:val="single"/>
              </w:rPr>
              <w:t>be legally responsible</w:t>
            </w:r>
            <w:r w:rsidR="00F25360" w:rsidRPr="00E57E03">
              <w:rPr>
                <w:rFonts w:cs="Times New Roman"/>
                <w:sz w:val="22"/>
                <w:u w:val="single"/>
              </w:rPr>
              <w:t xml:space="preserve"> </w:t>
            </w:r>
            <w:r w:rsidRPr="00E57E03">
              <w:rPr>
                <w:rFonts w:cs="Times New Roman"/>
                <w:sz w:val="22"/>
                <w:u w:val="single"/>
              </w:rPr>
              <w:t>for the accuracy and truthfulness of the provided information and documents.</w:t>
            </w:r>
          </w:p>
        </w:tc>
        <w:tc>
          <w:tcPr>
            <w:tcW w:w="1272" w:type="pct"/>
          </w:tcPr>
          <w:p w14:paraId="0C337ADB" w14:textId="274E4126" w:rsidR="00641FF8" w:rsidRPr="00E57E03" w:rsidRDefault="00641FF8"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lastRenderedPageBreak/>
              <w:t>Rename Chapter VII relating to provisions on internal supervision and accountability under the Law 68, Articles 48 &amp; 49 and the Decree No. 365/2025/ND-CP, Articles 24 &amp; 25.</w:t>
            </w:r>
          </w:p>
          <w:p w14:paraId="0AD0F0BC" w14:textId="77777777" w:rsidR="005D5769" w:rsidRPr="00E57E03" w:rsidRDefault="00641FF8"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Restructure Chapter VII into 02 section, in which: </w:t>
            </w:r>
          </w:p>
          <w:p w14:paraId="0C3771D4" w14:textId="41FF51D3" w:rsidR="005D5769" w:rsidRPr="00E57E03" w:rsidRDefault="005D5769"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(i) Section 1 for Supervision of the implementation of BOM resolutions and decisions (including 03 Articles 31-33 of the Regulation 219);</w:t>
            </w:r>
          </w:p>
          <w:p w14:paraId="634EE426" w14:textId="639C116B" w:rsidR="00E35E59" w:rsidRPr="00E57E03" w:rsidRDefault="00576472"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(ii) Section 2 (including new Article 35) regarding Internal supervision and accountability to comply with the Law 68, Article 48, clause 2, Article 49 and the Decree No. 365/2025/ND-CP, Article 24, Clause 3, point d. Concretely:</w:t>
            </w:r>
          </w:p>
          <w:p w14:paraId="3046E7ED" w14:textId="1E760E31" w:rsidR="00E606CD" w:rsidRPr="00E57E03" w:rsidRDefault="00E606CD" w:rsidP="00B7620F">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 The Decree No. 365/2025/ND-CP, Article 24, Clause 3, point d: </w:t>
            </w:r>
            <w:r w:rsidRPr="00E57E03">
              <w:rPr>
                <w:rFonts w:cs="Times New Roman"/>
                <w:i/>
                <w:color w:val="000000" w:themeColor="text1"/>
                <w:sz w:val="22"/>
              </w:rPr>
              <w:t xml:space="preserve">“The Member’s Council, the President, the </w:t>
            </w:r>
            <w:r w:rsidRPr="00E57E03">
              <w:rPr>
                <w:rFonts w:cs="Times New Roman"/>
                <w:b/>
                <w:bCs/>
                <w:i/>
                <w:color w:val="000000" w:themeColor="text1"/>
                <w:sz w:val="22"/>
              </w:rPr>
              <w:t xml:space="preserve">Board of Management and the State Capital </w:t>
            </w:r>
            <w:r w:rsidR="003B6370" w:rsidRPr="00E57E03">
              <w:rPr>
                <w:rFonts w:cs="Times New Roman"/>
                <w:b/>
                <w:bCs/>
                <w:i/>
                <w:color w:val="000000" w:themeColor="text1"/>
                <w:sz w:val="22"/>
              </w:rPr>
              <w:t>Representative</w:t>
            </w:r>
            <w:r w:rsidRPr="00E57E03">
              <w:rPr>
                <w:rFonts w:cs="Times New Roman"/>
                <w:b/>
                <w:bCs/>
                <w:i/>
                <w:color w:val="000000" w:themeColor="text1"/>
                <w:sz w:val="22"/>
              </w:rPr>
              <w:t xml:space="preserve"> shall conduct the internal business supervision, timely develop solutions and measures to prevent risks to the safety of corporate capital and assets in accordance with the internal supervision </w:t>
            </w:r>
            <w:r w:rsidRPr="00E57E03">
              <w:rPr>
                <w:rFonts w:cs="Times New Roman"/>
                <w:b/>
                <w:bCs/>
                <w:i/>
                <w:color w:val="000000" w:themeColor="text1"/>
                <w:sz w:val="22"/>
              </w:rPr>
              <w:lastRenderedPageBreak/>
              <w:t>results; and fully and timely implement recommendations and warnings issued by supervisory, inspection, examination and audit authorities</w:t>
            </w:r>
            <w:r w:rsidRPr="00E57E03">
              <w:rPr>
                <w:rFonts w:cs="Times New Roman"/>
                <w:i/>
                <w:color w:val="000000" w:themeColor="text1"/>
                <w:sz w:val="22"/>
              </w:rPr>
              <w:t>.”</w:t>
            </w:r>
          </w:p>
          <w:p w14:paraId="0F979780" w14:textId="062601F8" w:rsidR="00E606CD" w:rsidRPr="00E57E03" w:rsidRDefault="00E606CD" w:rsidP="0056133A">
            <w:pPr>
              <w:widowControl w:val="0"/>
              <w:adjustRightInd w:val="0"/>
              <w:snapToGrid w:val="0"/>
              <w:spacing w:before="60" w:after="60"/>
              <w:jc w:val="both"/>
              <w:rPr>
                <w:rFonts w:cs="Times New Roman"/>
                <w:color w:val="000000" w:themeColor="text1"/>
                <w:sz w:val="22"/>
              </w:rPr>
            </w:pPr>
            <w:r w:rsidRPr="00E57E03">
              <w:rPr>
                <w:rFonts w:cs="Times New Roman"/>
                <w:color w:val="000000" w:themeColor="text1"/>
                <w:sz w:val="22"/>
              </w:rPr>
              <w:t xml:space="preserve">- Law 68, Article 49: </w:t>
            </w:r>
            <w:r w:rsidRPr="00E57E03">
              <w:rPr>
                <w:rFonts w:cs="Times New Roman"/>
                <w:i/>
                <w:color w:val="000000" w:themeColor="text1"/>
                <w:sz w:val="22"/>
              </w:rPr>
              <w:t xml:space="preserve">“The Member Council, the President of the company, the </w:t>
            </w:r>
            <w:r w:rsidRPr="00E57E03">
              <w:rPr>
                <w:rFonts w:cs="Times New Roman"/>
                <w:b/>
                <w:bCs/>
                <w:i/>
                <w:color w:val="000000" w:themeColor="text1"/>
                <w:sz w:val="22"/>
              </w:rPr>
              <w:t xml:space="preserve">Board of </w:t>
            </w:r>
            <w:r w:rsidR="0046042F" w:rsidRPr="00E57E03">
              <w:rPr>
                <w:rFonts w:cs="Times New Roman"/>
                <w:b/>
                <w:bCs/>
                <w:i/>
                <w:color w:val="000000" w:themeColor="text1"/>
                <w:sz w:val="22"/>
              </w:rPr>
              <w:t>Directors</w:t>
            </w:r>
            <w:r w:rsidRPr="00E57E03">
              <w:rPr>
                <w:rFonts w:cs="Times New Roman"/>
                <w:i/>
                <w:color w:val="000000" w:themeColor="text1"/>
                <w:sz w:val="22"/>
              </w:rPr>
              <w:t xml:space="preserve">, and state capital representatives </w:t>
            </w:r>
            <w:r w:rsidRPr="00E57E03">
              <w:rPr>
                <w:rFonts w:cs="Times New Roman"/>
                <w:b/>
                <w:bCs/>
                <w:i/>
                <w:color w:val="000000" w:themeColor="text1"/>
                <w:sz w:val="22"/>
              </w:rPr>
              <w:t xml:space="preserve">shall be accountable for state capital management and investment in enterprises at the request of supervisory, inspection, examination, audit bodies, </w:t>
            </w:r>
            <w:r w:rsidR="00E57E03" w:rsidRPr="00E57E03">
              <w:rPr>
                <w:rFonts w:cs="Times New Roman"/>
                <w:b/>
                <w:bCs/>
                <w:i/>
                <w:color w:val="000000" w:themeColor="text1"/>
                <w:sz w:val="22"/>
              </w:rPr>
              <w:t>the owner</w:t>
            </w:r>
            <w:r w:rsidRPr="00E57E03">
              <w:rPr>
                <w:rFonts w:cs="Times New Roman"/>
                <w:b/>
                <w:bCs/>
                <w:i/>
                <w:color w:val="000000" w:themeColor="text1"/>
                <w:sz w:val="22"/>
              </w:rPr>
              <w:t xml:space="preserve"> representative body, and other competent authorities; and shall be legally responsible for the accuracy and truthfulness of the information and documents provided</w:t>
            </w:r>
            <w:r w:rsidRPr="00E57E03">
              <w:rPr>
                <w:rFonts w:cs="Times New Roman"/>
                <w:i/>
                <w:color w:val="000000" w:themeColor="text1"/>
                <w:sz w:val="22"/>
              </w:rPr>
              <w:t>.”</w:t>
            </w:r>
          </w:p>
        </w:tc>
      </w:tr>
    </w:tbl>
    <w:p w14:paraId="1229E6C3" w14:textId="6B78FB3C" w:rsidR="00DA5F9C" w:rsidRPr="00E57E03" w:rsidRDefault="00DA5F9C" w:rsidP="008952F9">
      <w:pPr>
        <w:rPr>
          <w:rFonts w:cs="Times New Roman"/>
          <w:b/>
          <w:color w:val="8D0E3B"/>
          <w:sz w:val="22"/>
        </w:rPr>
      </w:pPr>
    </w:p>
    <w:sectPr w:rsidR="00DA5F9C" w:rsidRPr="00E57E03" w:rsidSect="006718B6">
      <w:pgSz w:w="15840" w:h="12240" w:orient="landscape"/>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CDF271" w15:done="0"/>
  <w15:commentEx w15:paraId="6865AC19" w15:done="0"/>
  <w15:commentEx w15:paraId="10907472" w15:done="0"/>
  <w15:commentEx w15:paraId="2BBE9668" w15:done="0"/>
  <w15:commentEx w15:paraId="54F09471" w15:done="0"/>
  <w15:commentEx w15:paraId="203348A4" w15:done="0"/>
  <w15:commentEx w15:paraId="2697C4F1" w15:done="0"/>
  <w15:commentEx w15:paraId="490EE7F0" w15:done="0"/>
  <w15:commentEx w15:paraId="5AA99052" w15:done="0"/>
  <w15:commentEx w15:paraId="7BCF490E" w15:done="0"/>
  <w15:commentEx w15:paraId="6830F5F3" w15:done="0"/>
  <w15:commentEx w15:paraId="51C5497F" w15:done="0"/>
  <w15:commentEx w15:paraId="218ABE83" w15:done="0"/>
  <w15:commentEx w15:paraId="51EB5F1E" w15:done="0"/>
  <w15:commentEx w15:paraId="2416DB97" w15:done="0"/>
  <w15:commentEx w15:paraId="2C4CDE1C" w15:done="0"/>
  <w15:commentEx w15:paraId="79B3F0D7" w15:done="0"/>
  <w15:commentEx w15:paraId="16A2EC49" w15:done="0"/>
  <w15:commentEx w15:paraId="6B80A94B" w15:done="0"/>
  <w15:commentEx w15:paraId="3F7BB73E" w15:done="0"/>
  <w15:commentEx w15:paraId="40E7C293" w15:done="0"/>
  <w15:commentEx w15:paraId="5FE155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A03979" w16cex:dateUtc="2026-04-02T09:43:00Z"/>
  <w16cex:commentExtensible w16cex:durableId="300A1232" w16cex:dateUtc="2026-04-02T09:43:00Z"/>
  <w16cex:commentExtensible w16cex:durableId="37084336" w16cex:dateUtc="2026-04-02T09:45:00Z"/>
  <w16cex:commentExtensible w16cex:durableId="6EB587CF" w16cex:dateUtc="2026-04-02T09:45:00Z"/>
  <w16cex:commentExtensible w16cex:durableId="232B6FD9" w16cex:dateUtc="2026-04-02T09:46:00Z"/>
  <w16cex:commentExtensible w16cex:durableId="6B90F071" w16cex:dateUtc="2026-04-02T09:48:00Z"/>
  <w16cex:commentExtensible w16cex:durableId="5D35BF8E" w16cex:dateUtc="2026-04-02T09:49:00Z"/>
  <w16cex:commentExtensible w16cex:durableId="74D39C58" w16cex:dateUtc="2026-04-02T09:50:00Z"/>
  <w16cex:commentExtensible w16cex:durableId="63F4A3C0" w16cex:dateUtc="2026-04-03T01:09:00Z"/>
  <w16cex:commentExtensible w16cex:durableId="1F0F629E" w16cex:dateUtc="2026-04-03T01:09:00Z"/>
  <w16cex:commentExtensible w16cex:durableId="3BE579D9" w16cex:dateUtc="2026-04-03T01:10:00Z"/>
  <w16cex:commentExtensible w16cex:durableId="6F7F799D" w16cex:dateUtc="2026-04-03T01:11:00Z"/>
  <w16cex:commentExtensible w16cex:durableId="70C9A736" w16cex:dateUtc="2026-04-03T01:11:00Z"/>
  <w16cex:commentExtensible w16cex:durableId="55CA6953" w16cex:dateUtc="2026-04-03T01:11:00Z"/>
  <w16cex:commentExtensible w16cex:durableId="7FDF6A11" w16cex:dateUtc="2026-04-03T01:12:00Z"/>
  <w16cex:commentExtensible w16cex:durableId="09EAFEA3" w16cex:dateUtc="2026-04-03T01:17:00Z"/>
  <w16cex:commentExtensible w16cex:durableId="6C4A9E30" w16cex:dateUtc="2026-04-03T01:17:00Z"/>
  <w16cex:commentExtensible w16cex:durableId="671796D5" w16cex:dateUtc="2026-04-03T01:17:00Z"/>
  <w16cex:commentExtensible w16cex:durableId="10D09AA2" w16cex:dateUtc="2026-04-03T01:18:00Z"/>
  <w16cex:commentExtensible w16cex:durableId="222C8039" w16cex:dateUtc="2026-04-03T01:18:00Z"/>
  <w16cex:commentExtensible w16cex:durableId="6160E6CB" w16cex:dateUtc="2026-04-03T01:19:00Z"/>
  <w16cex:commentExtensible w16cex:durableId="2491076A" w16cex:dateUtc="2026-04-0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CDF271" w16cid:durableId="02A03979"/>
  <w16cid:commentId w16cid:paraId="6865AC19" w16cid:durableId="300A1232"/>
  <w16cid:commentId w16cid:paraId="10907472" w16cid:durableId="37084336"/>
  <w16cid:commentId w16cid:paraId="2BBE9668" w16cid:durableId="6EB587CF"/>
  <w16cid:commentId w16cid:paraId="54F09471" w16cid:durableId="232B6FD9"/>
  <w16cid:commentId w16cid:paraId="203348A4" w16cid:durableId="6B90F071"/>
  <w16cid:commentId w16cid:paraId="2697C4F1" w16cid:durableId="5D35BF8E"/>
  <w16cid:commentId w16cid:paraId="490EE7F0" w16cid:durableId="74D39C58"/>
  <w16cid:commentId w16cid:paraId="5AA99052" w16cid:durableId="63F4A3C0"/>
  <w16cid:commentId w16cid:paraId="7BCF490E" w16cid:durableId="1F0F629E"/>
  <w16cid:commentId w16cid:paraId="6830F5F3" w16cid:durableId="3BE579D9"/>
  <w16cid:commentId w16cid:paraId="51C5497F" w16cid:durableId="6F7F799D"/>
  <w16cid:commentId w16cid:paraId="218ABE83" w16cid:durableId="70C9A736"/>
  <w16cid:commentId w16cid:paraId="51EB5F1E" w16cid:durableId="55CA6953"/>
  <w16cid:commentId w16cid:paraId="2416DB97" w16cid:durableId="7FDF6A11"/>
  <w16cid:commentId w16cid:paraId="2C4CDE1C" w16cid:durableId="09EAFEA3"/>
  <w16cid:commentId w16cid:paraId="79B3F0D7" w16cid:durableId="6C4A9E30"/>
  <w16cid:commentId w16cid:paraId="16A2EC49" w16cid:durableId="671796D5"/>
  <w16cid:commentId w16cid:paraId="6B80A94B" w16cid:durableId="10D09AA2"/>
  <w16cid:commentId w16cid:paraId="3F7BB73E" w16cid:durableId="222C8039"/>
  <w16cid:commentId w16cid:paraId="40E7C293" w16cid:durableId="6160E6CB"/>
  <w16cid:commentId w16cid:paraId="5FE155A3" w16cid:durableId="249107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2D409" w14:textId="77777777" w:rsidR="000972F2" w:rsidRDefault="000972F2" w:rsidP="00D765FD">
      <w:pPr>
        <w:spacing w:after="0" w:line="240" w:lineRule="auto"/>
      </w:pPr>
      <w:r>
        <w:separator/>
      </w:r>
    </w:p>
  </w:endnote>
  <w:endnote w:type="continuationSeparator" w:id="0">
    <w:p w14:paraId="3FC94E9F" w14:textId="77777777" w:rsidR="000972F2" w:rsidRDefault="000972F2" w:rsidP="00D765FD">
      <w:pPr>
        <w:spacing w:after="0" w:line="240" w:lineRule="auto"/>
      </w:pPr>
      <w:r>
        <w:continuationSeparator/>
      </w:r>
    </w:p>
  </w:endnote>
  <w:endnote w:type="continuationNotice" w:id="1">
    <w:p w14:paraId="4F52F669" w14:textId="77777777" w:rsidR="000972F2" w:rsidRDefault="00097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VO">
    <w:altName w:val="Calibri"/>
    <w:charset w:val="00"/>
    <w:family w:val="auto"/>
    <w:pitch w:val="variable"/>
    <w:sig w:usb0="A000000F"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19765" w14:textId="77777777" w:rsidR="000972F2" w:rsidRDefault="000972F2" w:rsidP="00D765FD">
      <w:pPr>
        <w:spacing w:after="0" w:line="240" w:lineRule="auto"/>
      </w:pPr>
      <w:r>
        <w:separator/>
      </w:r>
    </w:p>
  </w:footnote>
  <w:footnote w:type="continuationSeparator" w:id="0">
    <w:p w14:paraId="54D9A3F3" w14:textId="77777777" w:rsidR="000972F2" w:rsidRDefault="000972F2" w:rsidP="00D765FD">
      <w:pPr>
        <w:spacing w:after="0" w:line="240" w:lineRule="auto"/>
      </w:pPr>
      <w:r>
        <w:continuationSeparator/>
      </w:r>
    </w:p>
  </w:footnote>
  <w:footnote w:type="continuationNotice" w:id="1">
    <w:p w14:paraId="3718AA9F" w14:textId="77777777" w:rsidR="000972F2" w:rsidRDefault="000972F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4EF52C0"/>
    <w:multiLevelType w:val="hybridMultilevel"/>
    <w:tmpl w:val="C4F44174"/>
    <w:lvl w:ilvl="0" w:tplc="1B609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EE0EED"/>
    <w:multiLevelType w:val="hybridMultilevel"/>
    <w:tmpl w:val="88DCDDF4"/>
    <w:lvl w:ilvl="0" w:tplc="AE36E4D6">
      <w:start w:val="2"/>
      <w:numFmt w:val="bullet"/>
      <w:lvlText w:val=""/>
      <w:lvlJc w:val="left"/>
      <w:pPr>
        <w:ind w:left="720" w:hanging="360"/>
      </w:pPr>
      <w:rPr>
        <w:rFonts w:ascii="Wingdings" w:eastAsia="Times New Roman" w:hAnsi="Wingdings" w:cs="Times New Roman" w:hint="default"/>
        <w:color w:val="EE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7D4086"/>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2">
    <w:nsid w:val="219D4B3D"/>
    <w:multiLevelType w:val="hybridMultilevel"/>
    <w:tmpl w:val="4CFE08C2"/>
    <w:lvl w:ilvl="0" w:tplc="0409000F">
      <w:start w:val="1"/>
      <w:numFmt w:val="decimal"/>
      <w:lvlText w:val="%1."/>
      <w:lvlJc w:val="left"/>
      <w:pPr>
        <w:ind w:left="9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41E24"/>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4">
    <w:nsid w:val="38375DD9"/>
    <w:multiLevelType w:val="hybridMultilevel"/>
    <w:tmpl w:val="16BA24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5521FB4"/>
    <w:multiLevelType w:val="hybridMultilevel"/>
    <w:tmpl w:val="FD16C062"/>
    <w:lvl w:ilvl="0" w:tplc="BF1417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F5404"/>
    <w:multiLevelType w:val="hybridMultilevel"/>
    <w:tmpl w:val="5B60C36A"/>
    <w:lvl w:ilvl="0" w:tplc="BF141798">
      <w:start w:val="1"/>
      <w:numFmt w:val="decimal"/>
      <w:lvlText w:val="%1."/>
      <w:lvlJc w:val="left"/>
      <w:pPr>
        <w:ind w:left="360" w:hanging="360"/>
      </w:pPr>
      <w:rPr>
        <w:rFonts w:hint="default"/>
        <w:b/>
      </w:rPr>
    </w:lvl>
    <w:lvl w:ilvl="1" w:tplc="3B8E496C">
      <w:start w:val="1"/>
      <w:numFmt w:val="bullet"/>
      <w:lvlText w:val="-"/>
      <w:lvlJc w:val="left"/>
      <w:pPr>
        <w:ind w:left="1080" w:hanging="360"/>
      </w:pPr>
      <w:rPr>
        <w:rFonts w:ascii="OptimaVO" w:eastAsia="Times New Roman" w:hAnsi="OptimaV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976E5E"/>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8">
    <w:nsid w:val="52124726"/>
    <w:multiLevelType w:val="hybridMultilevel"/>
    <w:tmpl w:val="3AE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A5F23"/>
    <w:multiLevelType w:val="hybridMultilevel"/>
    <w:tmpl w:val="1FA20DF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DC021E"/>
    <w:multiLevelType w:val="hybridMultilevel"/>
    <w:tmpl w:val="9B84C0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1246698"/>
    <w:multiLevelType w:val="hybridMultilevel"/>
    <w:tmpl w:val="2B12A41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78C27C33"/>
    <w:multiLevelType w:val="hybridMultilevel"/>
    <w:tmpl w:val="E786A12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7A4E5A39"/>
    <w:multiLevelType w:val="hybridMultilevel"/>
    <w:tmpl w:val="E57C523E"/>
    <w:lvl w:ilvl="0" w:tplc="A02C5550">
      <w:start w:val="1"/>
      <w:numFmt w:val="upperRoman"/>
      <w:pStyle w:val="Heading1"/>
      <w:lvlText w:val="%1."/>
      <w:lvlJc w:val="left"/>
      <w:pPr>
        <w:ind w:left="360" w:hanging="360"/>
      </w:pPr>
      <w:rPr>
        <w:rFonts w:hint="default"/>
        <w:b/>
        <w:bCs/>
        <w:color w:val="8D0E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8B51ED"/>
    <w:multiLevelType w:val="hybridMultilevel"/>
    <w:tmpl w:val="51CA2B5E"/>
    <w:lvl w:ilvl="0" w:tplc="08B0B418">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1"/>
  </w:num>
  <w:num w:numId="13">
    <w:abstractNumId w:val="23"/>
  </w:num>
  <w:num w:numId="14">
    <w:abstractNumId w:val="19"/>
  </w:num>
  <w:num w:numId="15">
    <w:abstractNumId w:val="16"/>
  </w:num>
  <w:num w:numId="16">
    <w:abstractNumId w:val="9"/>
  </w:num>
  <w:num w:numId="17">
    <w:abstractNumId w:val="15"/>
  </w:num>
  <w:num w:numId="18">
    <w:abstractNumId w:val="24"/>
  </w:num>
  <w:num w:numId="19">
    <w:abstractNumId w:val="20"/>
  </w:num>
  <w:num w:numId="20">
    <w:abstractNumId w:val="21"/>
  </w:num>
  <w:num w:numId="21">
    <w:abstractNumId w:val="14"/>
  </w:num>
  <w:num w:numId="22">
    <w:abstractNumId w:val="22"/>
  </w:num>
  <w:num w:numId="23">
    <w:abstractNumId w:val="18"/>
  </w:num>
  <w:num w:numId="24">
    <w:abstractNumId w:val="23"/>
    <w:lvlOverride w:ilvl="0">
      <w:startOverride w:val="1"/>
    </w:lvlOverride>
  </w:num>
  <w:num w:numId="25">
    <w:abstractNumId w:val="17"/>
  </w:num>
  <w:num w:numId="26">
    <w:abstractNumId w:val="13"/>
  </w:num>
  <w:num w:numId="27">
    <w:abstractNumId w:val="23"/>
  </w:num>
  <w:num w:numId="28">
    <w:abstractNumId w:val="23"/>
  </w:num>
  <w:num w:numId="29">
    <w:abstractNumId w:val="23"/>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Do Thanh (PETROLIMEX)">
    <w15:presenceInfo w15:providerId="AD" w15:userId="S::longdt2@petrolimex.com.vn::f8fcd5e9-3a3d-4f7e-aed6-3786f804c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323"/>
    <w:rsid w:val="00001030"/>
    <w:rsid w:val="00001709"/>
    <w:rsid w:val="00001AD3"/>
    <w:rsid w:val="00002553"/>
    <w:rsid w:val="000028AC"/>
    <w:rsid w:val="000033A6"/>
    <w:rsid w:val="00005AD8"/>
    <w:rsid w:val="000073C5"/>
    <w:rsid w:val="00007688"/>
    <w:rsid w:val="00007CDA"/>
    <w:rsid w:val="00007CF9"/>
    <w:rsid w:val="00010697"/>
    <w:rsid w:val="0001092A"/>
    <w:rsid w:val="000125AE"/>
    <w:rsid w:val="0001274D"/>
    <w:rsid w:val="0001346D"/>
    <w:rsid w:val="00014D77"/>
    <w:rsid w:val="0001503F"/>
    <w:rsid w:val="000152D3"/>
    <w:rsid w:val="00015744"/>
    <w:rsid w:val="0001609F"/>
    <w:rsid w:val="00016226"/>
    <w:rsid w:val="0001680B"/>
    <w:rsid w:val="000175CC"/>
    <w:rsid w:val="00017AA5"/>
    <w:rsid w:val="00021CC5"/>
    <w:rsid w:val="00021EDB"/>
    <w:rsid w:val="0002251B"/>
    <w:rsid w:val="0002295D"/>
    <w:rsid w:val="00022E84"/>
    <w:rsid w:val="000259BD"/>
    <w:rsid w:val="000264EE"/>
    <w:rsid w:val="0002671D"/>
    <w:rsid w:val="00026A6D"/>
    <w:rsid w:val="00026AE7"/>
    <w:rsid w:val="00027CA6"/>
    <w:rsid w:val="00031ABF"/>
    <w:rsid w:val="00032761"/>
    <w:rsid w:val="000330F4"/>
    <w:rsid w:val="00033223"/>
    <w:rsid w:val="00033441"/>
    <w:rsid w:val="0003357B"/>
    <w:rsid w:val="000337EE"/>
    <w:rsid w:val="00033E7A"/>
    <w:rsid w:val="000340E7"/>
    <w:rsid w:val="00034616"/>
    <w:rsid w:val="00035836"/>
    <w:rsid w:val="00035DA8"/>
    <w:rsid w:val="00037050"/>
    <w:rsid w:val="00037657"/>
    <w:rsid w:val="0003770C"/>
    <w:rsid w:val="00037A53"/>
    <w:rsid w:val="000414D4"/>
    <w:rsid w:val="000423A1"/>
    <w:rsid w:val="00042AB0"/>
    <w:rsid w:val="00042D25"/>
    <w:rsid w:val="00042EC4"/>
    <w:rsid w:val="00043FE8"/>
    <w:rsid w:val="000471F6"/>
    <w:rsid w:val="00047B31"/>
    <w:rsid w:val="00047E36"/>
    <w:rsid w:val="000501D7"/>
    <w:rsid w:val="00052177"/>
    <w:rsid w:val="00052602"/>
    <w:rsid w:val="00052E8A"/>
    <w:rsid w:val="00054FE4"/>
    <w:rsid w:val="00055B21"/>
    <w:rsid w:val="00055E2E"/>
    <w:rsid w:val="00055F30"/>
    <w:rsid w:val="0005701F"/>
    <w:rsid w:val="00057574"/>
    <w:rsid w:val="0006063C"/>
    <w:rsid w:val="00060DF5"/>
    <w:rsid w:val="0006375C"/>
    <w:rsid w:val="00065B64"/>
    <w:rsid w:val="00066B18"/>
    <w:rsid w:val="00066C59"/>
    <w:rsid w:val="00066E67"/>
    <w:rsid w:val="00066EBD"/>
    <w:rsid w:val="00067A00"/>
    <w:rsid w:val="000704F7"/>
    <w:rsid w:val="00070F16"/>
    <w:rsid w:val="00071987"/>
    <w:rsid w:val="00071FC9"/>
    <w:rsid w:val="00072634"/>
    <w:rsid w:val="00072CDF"/>
    <w:rsid w:val="00073537"/>
    <w:rsid w:val="000736FE"/>
    <w:rsid w:val="000738F6"/>
    <w:rsid w:val="00073E12"/>
    <w:rsid w:val="000740CE"/>
    <w:rsid w:val="000751F4"/>
    <w:rsid w:val="00075A79"/>
    <w:rsid w:val="00075A95"/>
    <w:rsid w:val="0008005B"/>
    <w:rsid w:val="00080395"/>
    <w:rsid w:val="0008091F"/>
    <w:rsid w:val="00080BFF"/>
    <w:rsid w:val="000816CC"/>
    <w:rsid w:val="00081F53"/>
    <w:rsid w:val="000833DA"/>
    <w:rsid w:val="0008418D"/>
    <w:rsid w:val="00084286"/>
    <w:rsid w:val="00085021"/>
    <w:rsid w:val="0008591D"/>
    <w:rsid w:val="00086A6D"/>
    <w:rsid w:val="00086F4B"/>
    <w:rsid w:val="00087271"/>
    <w:rsid w:val="0009020A"/>
    <w:rsid w:val="00090373"/>
    <w:rsid w:val="00091328"/>
    <w:rsid w:val="00091CD2"/>
    <w:rsid w:val="000928B4"/>
    <w:rsid w:val="0009393A"/>
    <w:rsid w:val="00094545"/>
    <w:rsid w:val="00094CD4"/>
    <w:rsid w:val="00094DF1"/>
    <w:rsid w:val="00096156"/>
    <w:rsid w:val="0009691F"/>
    <w:rsid w:val="00097058"/>
    <w:rsid w:val="000972F2"/>
    <w:rsid w:val="000A03D9"/>
    <w:rsid w:val="000A0792"/>
    <w:rsid w:val="000A07FF"/>
    <w:rsid w:val="000A21A8"/>
    <w:rsid w:val="000A22F0"/>
    <w:rsid w:val="000A2AA2"/>
    <w:rsid w:val="000A2B13"/>
    <w:rsid w:val="000A3EE8"/>
    <w:rsid w:val="000A52A4"/>
    <w:rsid w:val="000A555A"/>
    <w:rsid w:val="000A5BA4"/>
    <w:rsid w:val="000A5F0D"/>
    <w:rsid w:val="000A6861"/>
    <w:rsid w:val="000A759F"/>
    <w:rsid w:val="000B07F4"/>
    <w:rsid w:val="000B2090"/>
    <w:rsid w:val="000B2F85"/>
    <w:rsid w:val="000B3597"/>
    <w:rsid w:val="000B3A35"/>
    <w:rsid w:val="000B41E7"/>
    <w:rsid w:val="000B628A"/>
    <w:rsid w:val="000B7F09"/>
    <w:rsid w:val="000C00D7"/>
    <w:rsid w:val="000C0199"/>
    <w:rsid w:val="000C2186"/>
    <w:rsid w:val="000C22DF"/>
    <w:rsid w:val="000C4410"/>
    <w:rsid w:val="000C48A0"/>
    <w:rsid w:val="000C4B54"/>
    <w:rsid w:val="000C5117"/>
    <w:rsid w:val="000C5631"/>
    <w:rsid w:val="000C62A0"/>
    <w:rsid w:val="000C692F"/>
    <w:rsid w:val="000C72C4"/>
    <w:rsid w:val="000C7707"/>
    <w:rsid w:val="000D0B2F"/>
    <w:rsid w:val="000D0F21"/>
    <w:rsid w:val="000D1059"/>
    <w:rsid w:val="000D190B"/>
    <w:rsid w:val="000D1DEE"/>
    <w:rsid w:val="000D24EA"/>
    <w:rsid w:val="000D2C07"/>
    <w:rsid w:val="000D336C"/>
    <w:rsid w:val="000D3858"/>
    <w:rsid w:val="000D3E2F"/>
    <w:rsid w:val="000D515B"/>
    <w:rsid w:val="000D5C06"/>
    <w:rsid w:val="000D62E5"/>
    <w:rsid w:val="000D64F8"/>
    <w:rsid w:val="000D6D1B"/>
    <w:rsid w:val="000D7324"/>
    <w:rsid w:val="000D73AC"/>
    <w:rsid w:val="000D7A3D"/>
    <w:rsid w:val="000E00B3"/>
    <w:rsid w:val="000E0AD4"/>
    <w:rsid w:val="000E1BC9"/>
    <w:rsid w:val="000E26B2"/>
    <w:rsid w:val="000E367D"/>
    <w:rsid w:val="000E36F2"/>
    <w:rsid w:val="000E38A1"/>
    <w:rsid w:val="000E4889"/>
    <w:rsid w:val="000E4A7B"/>
    <w:rsid w:val="000E648D"/>
    <w:rsid w:val="000E6FB1"/>
    <w:rsid w:val="000E7088"/>
    <w:rsid w:val="000F019D"/>
    <w:rsid w:val="000F0BF7"/>
    <w:rsid w:val="000F0FD4"/>
    <w:rsid w:val="000F13E7"/>
    <w:rsid w:val="000F3038"/>
    <w:rsid w:val="000F315E"/>
    <w:rsid w:val="000F3CDE"/>
    <w:rsid w:val="000F3DD4"/>
    <w:rsid w:val="000F45F7"/>
    <w:rsid w:val="000F5234"/>
    <w:rsid w:val="000F5651"/>
    <w:rsid w:val="000F58A4"/>
    <w:rsid w:val="000F5A8D"/>
    <w:rsid w:val="000F6F98"/>
    <w:rsid w:val="000F73F2"/>
    <w:rsid w:val="00100325"/>
    <w:rsid w:val="001008AC"/>
    <w:rsid w:val="00101348"/>
    <w:rsid w:val="00101E4A"/>
    <w:rsid w:val="00102309"/>
    <w:rsid w:val="00103A64"/>
    <w:rsid w:val="001048CA"/>
    <w:rsid w:val="001049A8"/>
    <w:rsid w:val="00105214"/>
    <w:rsid w:val="00105797"/>
    <w:rsid w:val="00110E7C"/>
    <w:rsid w:val="001118F9"/>
    <w:rsid w:val="00112037"/>
    <w:rsid w:val="00112731"/>
    <w:rsid w:val="00112A2B"/>
    <w:rsid w:val="0011334E"/>
    <w:rsid w:val="00113EFE"/>
    <w:rsid w:val="001149B5"/>
    <w:rsid w:val="0011776E"/>
    <w:rsid w:val="00120478"/>
    <w:rsid w:val="001220C4"/>
    <w:rsid w:val="0012262A"/>
    <w:rsid w:val="001232D6"/>
    <w:rsid w:val="00123A15"/>
    <w:rsid w:val="00124388"/>
    <w:rsid w:val="00125728"/>
    <w:rsid w:val="001265AF"/>
    <w:rsid w:val="00126F71"/>
    <w:rsid w:val="0013031E"/>
    <w:rsid w:val="00130B06"/>
    <w:rsid w:val="001321A2"/>
    <w:rsid w:val="00132DCE"/>
    <w:rsid w:val="00133341"/>
    <w:rsid w:val="00133FAF"/>
    <w:rsid w:val="00134930"/>
    <w:rsid w:val="00134FB6"/>
    <w:rsid w:val="00137756"/>
    <w:rsid w:val="00137DE0"/>
    <w:rsid w:val="00140070"/>
    <w:rsid w:val="00141405"/>
    <w:rsid w:val="00141D5A"/>
    <w:rsid w:val="0014297B"/>
    <w:rsid w:val="00142EBE"/>
    <w:rsid w:val="00142FC5"/>
    <w:rsid w:val="0014387E"/>
    <w:rsid w:val="0014391E"/>
    <w:rsid w:val="00143C8A"/>
    <w:rsid w:val="0014529D"/>
    <w:rsid w:val="00145399"/>
    <w:rsid w:val="00145AF7"/>
    <w:rsid w:val="00146E36"/>
    <w:rsid w:val="0015074B"/>
    <w:rsid w:val="0015078A"/>
    <w:rsid w:val="001519CB"/>
    <w:rsid w:val="00152463"/>
    <w:rsid w:val="00152F27"/>
    <w:rsid w:val="0015346E"/>
    <w:rsid w:val="00153497"/>
    <w:rsid w:val="001537A1"/>
    <w:rsid w:val="00153BD8"/>
    <w:rsid w:val="00154C9A"/>
    <w:rsid w:val="001560C4"/>
    <w:rsid w:val="00156BEA"/>
    <w:rsid w:val="001570FE"/>
    <w:rsid w:val="00160EA0"/>
    <w:rsid w:val="001616B9"/>
    <w:rsid w:val="00161B8D"/>
    <w:rsid w:val="00162BCA"/>
    <w:rsid w:val="0016378E"/>
    <w:rsid w:val="0016399B"/>
    <w:rsid w:val="00163B2B"/>
    <w:rsid w:val="00164469"/>
    <w:rsid w:val="0016492F"/>
    <w:rsid w:val="00165D43"/>
    <w:rsid w:val="00166AED"/>
    <w:rsid w:val="001679E3"/>
    <w:rsid w:val="00170D00"/>
    <w:rsid w:val="001714AD"/>
    <w:rsid w:val="001718E1"/>
    <w:rsid w:val="00171DEF"/>
    <w:rsid w:val="00175020"/>
    <w:rsid w:val="00175450"/>
    <w:rsid w:val="001759EC"/>
    <w:rsid w:val="0017636B"/>
    <w:rsid w:val="00176CB4"/>
    <w:rsid w:val="001802C7"/>
    <w:rsid w:val="00181334"/>
    <w:rsid w:val="0018249F"/>
    <w:rsid w:val="00183564"/>
    <w:rsid w:val="001837B8"/>
    <w:rsid w:val="00184095"/>
    <w:rsid w:val="001842D8"/>
    <w:rsid w:val="00184DC2"/>
    <w:rsid w:val="00184EE9"/>
    <w:rsid w:val="00185F2F"/>
    <w:rsid w:val="00185F8B"/>
    <w:rsid w:val="0018686F"/>
    <w:rsid w:val="001872BA"/>
    <w:rsid w:val="00187E55"/>
    <w:rsid w:val="00190519"/>
    <w:rsid w:val="0019125D"/>
    <w:rsid w:val="00191649"/>
    <w:rsid w:val="00191E5E"/>
    <w:rsid w:val="001920D9"/>
    <w:rsid w:val="001926B2"/>
    <w:rsid w:val="001937EB"/>
    <w:rsid w:val="00194F72"/>
    <w:rsid w:val="00196FDD"/>
    <w:rsid w:val="001970E2"/>
    <w:rsid w:val="001971B0"/>
    <w:rsid w:val="001973BB"/>
    <w:rsid w:val="0019779B"/>
    <w:rsid w:val="00197CC0"/>
    <w:rsid w:val="001A0957"/>
    <w:rsid w:val="001A133D"/>
    <w:rsid w:val="001A13D0"/>
    <w:rsid w:val="001A1C79"/>
    <w:rsid w:val="001A1FC0"/>
    <w:rsid w:val="001A20E3"/>
    <w:rsid w:val="001A24B9"/>
    <w:rsid w:val="001A2BD1"/>
    <w:rsid w:val="001A3A07"/>
    <w:rsid w:val="001A3CD3"/>
    <w:rsid w:val="001A43CB"/>
    <w:rsid w:val="001A44A7"/>
    <w:rsid w:val="001A46D8"/>
    <w:rsid w:val="001A4A1F"/>
    <w:rsid w:val="001A4EBC"/>
    <w:rsid w:val="001A540E"/>
    <w:rsid w:val="001A54D7"/>
    <w:rsid w:val="001A586A"/>
    <w:rsid w:val="001A65EA"/>
    <w:rsid w:val="001B0700"/>
    <w:rsid w:val="001B0BBA"/>
    <w:rsid w:val="001B149A"/>
    <w:rsid w:val="001B2026"/>
    <w:rsid w:val="001B2118"/>
    <w:rsid w:val="001B23A6"/>
    <w:rsid w:val="001B28E9"/>
    <w:rsid w:val="001B3A96"/>
    <w:rsid w:val="001B3EB8"/>
    <w:rsid w:val="001B4411"/>
    <w:rsid w:val="001B469E"/>
    <w:rsid w:val="001B470C"/>
    <w:rsid w:val="001B50AB"/>
    <w:rsid w:val="001B5256"/>
    <w:rsid w:val="001B5292"/>
    <w:rsid w:val="001B662D"/>
    <w:rsid w:val="001B6E1B"/>
    <w:rsid w:val="001B75C8"/>
    <w:rsid w:val="001C0311"/>
    <w:rsid w:val="001C1542"/>
    <w:rsid w:val="001C159B"/>
    <w:rsid w:val="001C15EE"/>
    <w:rsid w:val="001C2B7F"/>
    <w:rsid w:val="001C2C41"/>
    <w:rsid w:val="001C3A26"/>
    <w:rsid w:val="001C3BB4"/>
    <w:rsid w:val="001C41AC"/>
    <w:rsid w:val="001C472A"/>
    <w:rsid w:val="001C4B99"/>
    <w:rsid w:val="001C5CBA"/>
    <w:rsid w:val="001C613E"/>
    <w:rsid w:val="001C65A1"/>
    <w:rsid w:val="001C6928"/>
    <w:rsid w:val="001C7D1A"/>
    <w:rsid w:val="001D0354"/>
    <w:rsid w:val="001D07AE"/>
    <w:rsid w:val="001D0B0F"/>
    <w:rsid w:val="001D1CE9"/>
    <w:rsid w:val="001D1D91"/>
    <w:rsid w:val="001D2BE9"/>
    <w:rsid w:val="001D399E"/>
    <w:rsid w:val="001D437F"/>
    <w:rsid w:val="001D4771"/>
    <w:rsid w:val="001D4960"/>
    <w:rsid w:val="001D55B3"/>
    <w:rsid w:val="001D63FC"/>
    <w:rsid w:val="001D6A9E"/>
    <w:rsid w:val="001D7683"/>
    <w:rsid w:val="001D7F21"/>
    <w:rsid w:val="001E18D2"/>
    <w:rsid w:val="001E1ABB"/>
    <w:rsid w:val="001E2EF3"/>
    <w:rsid w:val="001E3EBD"/>
    <w:rsid w:val="001E5E05"/>
    <w:rsid w:val="001E5E92"/>
    <w:rsid w:val="001E68DC"/>
    <w:rsid w:val="001E6C8F"/>
    <w:rsid w:val="001E6C9B"/>
    <w:rsid w:val="001F0D0E"/>
    <w:rsid w:val="001F1357"/>
    <w:rsid w:val="001F1CA4"/>
    <w:rsid w:val="001F2D72"/>
    <w:rsid w:val="001F4D67"/>
    <w:rsid w:val="001F5CCC"/>
    <w:rsid w:val="001F5F5F"/>
    <w:rsid w:val="001F63AD"/>
    <w:rsid w:val="001F67E6"/>
    <w:rsid w:val="001F7AF2"/>
    <w:rsid w:val="00200B98"/>
    <w:rsid w:val="00201C0A"/>
    <w:rsid w:val="00202C38"/>
    <w:rsid w:val="00203717"/>
    <w:rsid w:val="0020389F"/>
    <w:rsid w:val="00203976"/>
    <w:rsid w:val="00203C73"/>
    <w:rsid w:val="00204E06"/>
    <w:rsid w:val="00205D30"/>
    <w:rsid w:val="00205F33"/>
    <w:rsid w:val="00206979"/>
    <w:rsid w:val="00206E26"/>
    <w:rsid w:val="002079B7"/>
    <w:rsid w:val="00207A60"/>
    <w:rsid w:val="0021021C"/>
    <w:rsid w:val="00211FB4"/>
    <w:rsid w:val="00212261"/>
    <w:rsid w:val="00212348"/>
    <w:rsid w:val="002128B9"/>
    <w:rsid w:val="00213BCD"/>
    <w:rsid w:val="00214604"/>
    <w:rsid w:val="00214FF1"/>
    <w:rsid w:val="002156AF"/>
    <w:rsid w:val="002170AA"/>
    <w:rsid w:val="002206C4"/>
    <w:rsid w:val="00221457"/>
    <w:rsid w:val="00221B6F"/>
    <w:rsid w:val="002229C6"/>
    <w:rsid w:val="002232AE"/>
    <w:rsid w:val="00223519"/>
    <w:rsid w:val="002243A9"/>
    <w:rsid w:val="0022450B"/>
    <w:rsid w:val="00224A30"/>
    <w:rsid w:val="00224C8F"/>
    <w:rsid w:val="002257A6"/>
    <w:rsid w:val="00227E22"/>
    <w:rsid w:val="00232170"/>
    <w:rsid w:val="0023252B"/>
    <w:rsid w:val="00232C1D"/>
    <w:rsid w:val="0023388A"/>
    <w:rsid w:val="00233B0E"/>
    <w:rsid w:val="0023467A"/>
    <w:rsid w:val="00234860"/>
    <w:rsid w:val="00234DC6"/>
    <w:rsid w:val="002350E6"/>
    <w:rsid w:val="00241081"/>
    <w:rsid w:val="00241092"/>
    <w:rsid w:val="00241485"/>
    <w:rsid w:val="002418AA"/>
    <w:rsid w:val="00241AC2"/>
    <w:rsid w:val="00241EBC"/>
    <w:rsid w:val="00241FA5"/>
    <w:rsid w:val="00242815"/>
    <w:rsid w:val="00242F77"/>
    <w:rsid w:val="002433C6"/>
    <w:rsid w:val="0024388A"/>
    <w:rsid w:val="0024421C"/>
    <w:rsid w:val="0024588C"/>
    <w:rsid w:val="00246453"/>
    <w:rsid w:val="0024763A"/>
    <w:rsid w:val="00247CE6"/>
    <w:rsid w:val="002500C6"/>
    <w:rsid w:val="002505DE"/>
    <w:rsid w:val="00252A61"/>
    <w:rsid w:val="00252F5C"/>
    <w:rsid w:val="00253575"/>
    <w:rsid w:val="0025407E"/>
    <w:rsid w:val="00254CBC"/>
    <w:rsid w:val="002565D2"/>
    <w:rsid w:val="00256DBA"/>
    <w:rsid w:val="00257080"/>
    <w:rsid w:val="002574E2"/>
    <w:rsid w:val="002607DD"/>
    <w:rsid w:val="002607E8"/>
    <w:rsid w:val="002610DB"/>
    <w:rsid w:val="00261933"/>
    <w:rsid w:val="00261C38"/>
    <w:rsid w:val="002624A6"/>
    <w:rsid w:val="00262D08"/>
    <w:rsid w:val="00263192"/>
    <w:rsid w:val="00263E0B"/>
    <w:rsid w:val="00264BFB"/>
    <w:rsid w:val="0026524E"/>
    <w:rsid w:val="00266AC6"/>
    <w:rsid w:val="00267DD2"/>
    <w:rsid w:val="00267F15"/>
    <w:rsid w:val="00272002"/>
    <w:rsid w:val="00273C03"/>
    <w:rsid w:val="00274919"/>
    <w:rsid w:val="00275995"/>
    <w:rsid w:val="00275F25"/>
    <w:rsid w:val="002764D2"/>
    <w:rsid w:val="00277A27"/>
    <w:rsid w:val="00277F65"/>
    <w:rsid w:val="00280F64"/>
    <w:rsid w:val="00281A0E"/>
    <w:rsid w:val="00281C8B"/>
    <w:rsid w:val="002829D5"/>
    <w:rsid w:val="0028610D"/>
    <w:rsid w:val="002863CE"/>
    <w:rsid w:val="00291092"/>
    <w:rsid w:val="0029188B"/>
    <w:rsid w:val="002928A8"/>
    <w:rsid w:val="00292AB8"/>
    <w:rsid w:val="002941A2"/>
    <w:rsid w:val="00294F40"/>
    <w:rsid w:val="00294FF0"/>
    <w:rsid w:val="002950AA"/>
    <w:rsid w:val="0029639D"/>
    <w:rsid w:val="00296E26"/>
    <w:rsid w:val="0029769F"/>
    <w:rsid w:val="002A1AB3"/>
    <w:rsid w:val="002A1B8F"/>
    <w:rsid w:val="002A1DCC"/>
    <w:rsid w:val="002A2B4E"/>
    <w:rsid w:val="002A3068"/>
    <w:rsid w:val="002A4D58"/>
    <w:rsid w:val="002A564C"/>
    <w:rsid w:val="002B01C0"/>
    <w:rsid w:val="002B0609"/>
    <w:rsid w:val="002B137B"/>
    <w:rsid w:val="002B2635"/>
    <w:rsid w:val="002B2FED"/>
    <w:rsid w:val="002B3628"/>
    <w:rsid w:val="002B38CE"/>
    <w:rsid w:val="002B4290"/>
    <w:rsid w:val="002B446E"/>
    <w:rsid w:val="002B4823"/>
    <w:rsid w:val="002B4B24"/>
    <w:rsid w:val="002B5177"/>
    <w:rsid w:val="002B5486"/>
    <w:rsid w:val="002B68B9"/>
    <w:rsid w:val="002B6993"/>
    <w:rsid w:val="002B6AB6"/>
    <w:rsid w:val="002C052F"/>
    <w:rsid w:val="002C09C2"/>
    <w:rsid w:val="002C0EF8"/>
    <w:rsid w:val="002C213F"/>
    <w:rsid w:val="002C389C"/>
    <w:rsid w:val="002C3A00"/>
    <w:rsid w:val="002C3CFB"/>
    <w:rsid w:val="002C4170"/>
    <w:rsid w:val="002C4AE8"/>
    <w:rsid w:val="002C4D7B"/>
    <w:rsid w:val="002C4F03"/>
    <w:rsid w:val="002C525B"/>
    <w:rsid w:val="002C5843"/>
    <w:rsid w:val="002C598A"/>
    <w:rsid w:val="002C5B3A"/>
    <w:rsid w:val="002C7172"/>
    <w:rsid w:val="002C7C46"/>
    <w:rsid w:val="002C7C47"/>
    <w:rsid w:val="002C7DBC"/>
    <w:rsid w:val="002C7E90"/>
    <w:rsid w:val="002D01B4"/>
    <w:rsid w:val="002D0497"/>
    <w:rsid w:val="002D1E72"/>
    <w:rsid w:val="002D20D8"/>
    <w:rsid w:val="002D2628"/>
    <w:rsid w:val="002D2AAD"/>
    <w:rsid w:val="002D307A"/>
    <w:rsid w:val="002D3D06"/>
    <w:rsid w:val="002D5406"/>
    <w:rsid w:val="002D5C0C"/>
    <w:rsid w:val="002D731A"/>
    <w:rsid w:val="002D751A"/>
    <w:rsid w:val="002D762E"/>
    <w:rsid w:val="002D76A0"/>
    <w:rsid w:val="002E038D"/>
    <w:rsid w:val="002E17BA"/>
    <w:rsid w:val="002E296D"/>
    <w:rsid w:val="002E4212"/>
    <w:rsid w:val="002E58FB"/>
    <w:rsid w:val="002E5BB9"/>
    <w:rsid w:val="002E6858"/>
    <w:rsid w:val="002E706F"/>
    <w:rsid w:val="002E75D1"/>
    <w:rsid w:val="002F0FE9"/>
    <w:rsid w:val="002F2298"/>
    <w:rsid w:val="002F236E"/>
    <w:rsid w:val="002F23BD"/>
    <w:rsid w:val="002F24E2"/>
    <w:rsid w:val="002F2FE1"/>
    <w:rsid w:val="002F3125"/>
    <w:rsid w:val="002F3434"/>
    <w:rsid w:val="002F44DF"/>
    <w:rsid w:val="002F476F"/>
    <w:rsid w:val="002F4BA5"/>
    <w:rsid w:val="002F52E4"/>
    <w:rsid w:val="002F638E"/>
    <w:rsid w:val="00300000"/>
    <w:rsid w:val="003002D6"/>
    <w:rsid w:val="003002FE"/>
    <w:rsid w:val="0030090E"/>
    <w:rsid w:val="00300E56"/>
    <w:rsid w:val="00300EC0"/>
    <w:rsid w:val="0030107E"/>
    <w:rsid w:val="003010F3"/>
    <w:rsid w:val="003021F9"/>
    <w:rsid w:val="00302B7F"/>
    <w:rsid w:val="00302FF3"/>
    <w:rsid w:val="003036D2"/>
    <w:rsid w:val="003041BA"/>
    <w:rsid w:val="0030538C"/>
    <w:rsid w:val="003055E3"/>
    <w:rsid w:val="00305906"/>
    <w:rsid w:val="00305B61"/>
    <w:rsid w:val="0030623E"/>
    <w:rsid w:val="00310336"/>
    <w:rsid w:val="00311220"/>
    <w:rsid w:val="00311296"/>
    <w:rsid w:val="0031151B"/>
    <w:rsid w:val="003117C2"/>
    <w:rsid w:val="0031237F"/>
    <w:rsid w:val="00313431"/>
    <w:rsid w:val="0031405F"/>
    <w:rsid w:val="003146C3"/>
    <w:rsid w:val="0031539A"/>
    <w:rsid w:val="00315543"/>
    <w:rsid w:val="003158BE"/>
    <w:rsid w:val="00316A3F"/>
    <w:rsid w:val="003176FD"/>
    <w:rsid w:val="00317B80"/>
    <w:rsid w:val="003220BA"/>
    <w:rsid w:val="0032231A"/>
    <w:rsid w:val="00322671"/>
    <w:rsid w:val="00322E58"/>
    <w:rsid w:val="00324F60"/>
    <w:rsid w:val="00325F4E"/>
    <w:rsid w:val="00326B8F"/>
    <w:rsid w:val="00326F90"/>
    <w:rsid w:val="003276CB"/>
    <w:rsid w:val="00327CC7"/>
    <w:rsid w:val="0033369B"/>
    <w:rsid w:val="003337DF"/>
    <w:rsid w:val="003337F0"/>
    <w:rsid w:val="0033429C"/>
    <w:rsid w:val="00334655"/>
    <w:rsid w:val="003368CA"/>
    <w:rsid w:val="00340C67"/>
    <w:rsid w:val="00341CB8"/>
    <w:rsid w:val="00342037"/>
    <w:rsid w:val="0034374E"/>
    <w:rsid w:val="00344318"/>
    <w:rsid w:val="00344461"/>
    <w:rsid w:val="00344CFF"/>
    <w:rsid w:val="003453EB"/>
    <w:rsid w:val="00346921"/>
    <w:rsid w:val="00346B43"/>
    <w:rsid w:val="00346C60"/>
    <w:rsid w:val="003503B7"/>
    <w:rsid w:val="00350DB9"/>
    <w:rsid w:val="00350E4C"/>
    <w:rsid w:val="00351B03"/>
    <w:rsid w:val="00351EA8"/>
    <w:rsid w:val="00352610"/>
    <w:rsid w:val="003549BB"/>
    <w:rsid w:val="00354C10"/>
    <w:rsid w:val="003571E7"/>
    <w:rsid w:val="00357FD0"/>
    <w:rsid w:val="003614E0"/>
    <w:rsid w:val="003618FE"/>
    <w:rsid w:val="00361A43"/>
    <w:rsid w:val="00362880"/>
    <w:rsid w:val="00362C6F"/>
    <w:rsid w:val="00362D45"/>
    <w:rsid w:val="00363050"/>
    <w:rsid w:val="003645FA"/>
    <w:rsid w:val="00366B0D"/>
    <w:rsid w:val="00367D04"/>
    <w:rsid w:val="00367D14"/>
    <w:rsid w:val="00370E02"/>
    <w:rsid w:val="00371202"/>
    <w:rsid w:val="0037445A"/>
    <w:rsid w:val="003757FA"/>
    <w:rsid w:val="00375B64"/>
    <w:rsid w:val="00376008"/>
    <w:rsid w:val="003761DD"/>
    <w:rsid w:val="0037638C"/>
    <w:rsid w:val="00376805"/>
    <w:rsid w:val="00377FA8"/>
    <w:rsid w:val="003819E7"/>
    <w:rsid w:val="00381F2B"/>
    <w:rsid w:val="0038345B"/>
    <w:rsid w:val="003843DB"/>
    <w:rsid w:val="003845CB"/>
    <w:rsid w:val="00385240"/>
    <w:rsid w:val="00385D65"/>
    <w:rsid w:val="003861FA"/>
    <w:rsid w:val="00390DBA"/>
    <w:rsid w:val="0039127D"/>
    <w:rsid w:val="003919AE"/>
    <w:rsid w:val="00393AC0"/>
    <w:rsid w:val="00393B6E"/>
    <w:rsid w:val="00395538"/>
    <w:rsid w:val="003974CB"/>
    <w:rsid w:val="003A0145"/>
    <w:rsid w:val="003A1AA4"/>
    <w:rsid w:val="003A2740"/>
    <w:rsid w:val="003A2E13"/>
    <w:rsid w:val="003A3140"/>
    <w:rsid w:val="003A4C43"/>
    <w:rsid w:val="003A522C"/>
    <w:rsid w:val="003A533A"/>
    <w:rsid w:val="003A558B"/>
    <w:rsid w:val="003A57F4"/>
    <w:rsid w:val="003A63BD"/>
    <w:rsid w:val="003A6940"/>
    <w:rsid w:val="003A6F84"/>
    <w:rsid w:val="003B04C9"/>
    <w:rsid w:val="003B0A45"/>
    <w:rsid w:val="003B17B3"/>
    <w:rsid w:val="003B1D18"/>
    <w:rsid w:val="003B22C6"/>
    <w:rsid w:val="003B2C03"/>
    <w:rsid w:val="003B340D"/>
    <w:rsid w:val="003B3AA0"/>
    <w:rsid w:val="003B512E"/>
    <w:rsid w:val="003B5263"/>
    <w:rsid w:val="003B5BCD"/>
    <w:rsid w:val="003B6310"/>
    <w:rsid w:val="003B6370"/>
    <w:rsid w:val="003C0253"/>
    <w:rsid w:val="003C02E6"/>
    <w:rsid w:val="003C033C"/>
    <w:rsid w:val="003C0703"/>
    <w:rsid w:val="003C0B2A"/>
    <w:rsid w:val="003C0C54"/>
    <w:rsid w:val="003C1527"/>
    <w:rsid w:val="003C1552"/>
    <w:rsid w:val="003C4107"/>
    <w:rsid w:val="003C51AD"/>
    <w:rsid w:val="003C527E"/>
    <w:rsid w:val="003C5539"/>
    <w:rsid w:val="003C5E7B"/>
    <w:rsid w:val="003C62F2"/>
    <w:rsid w:val="003C6BE7"/>
    <w:rsid w:val="003C6C62"/>
    <w:rsid w:val="003C706E"/>
    <w:rsid w:val="003C7359"/>
    <w:rsid w:val="003C7616"/>
    <w:rsid w:val="003C7922"/>
    <w:rsid w:val="003C7D40"/>
    <w:rsid w:val="003C7D74"/>
    <w:rsid w:val="003D3074"/>
    <w:rsid w:val="003D3ADB"/>
    <w:rsid w:val="003D3F25"/>
    <w:rsid w:val="003D4C42"/>
    <w:rsid w:val="003D61AF"/>
    <w:rsid w:val="003D6D90"/>
    <w:rsid w:val="003E035A"/>
    <w:rsid w:val="003E080D"/>
    <w:rsid w:val="003E0AFE"/>
    <w:rsid w:val="003E0B5B"/>
    <w:rsid w:val="003E18F8"/>
    <w:rsid w:val="003E1E8D"/>
    <w:rsid w:val="003E2303"/>
    <w:rsid w:val="003E269D"/>
    <w:rsid w:val="003E2AAA"/>
    <w:rsid w:val="003E2F9A"/>
    <w:rsid w:val="003E3987"/>
    <w:rsid w:val="003E5C59"/>
    <w:rsid w:val="003E6889"/>
    <w:rsid w:val="003E794E"/>
    <w:rsid w:val="003F0777"/>
    <w:rsid w:val="003F1AF9"/>
    <w:rsid w:val="003F1D5E"/>
    <w:rsid w:val="003F3038"/>
    <w:rsid w:val="003F321F"/>
    <w:rsid w:val="003F3E36"/>
    <w:rsid w:val="003F48B9"/>
    <w:rsid w:val="003F4F0D"/>
    <w:rsid w:val="003F5882"/>
    <w:rsid w:val="003F5A68"/>
    <w:rsid w:val="003F60FA"/>
    <w:rsid w:val="003F7C2A"/>
    <w:rsid w:val="004002C6"/>
    <w:rsid w:val="004002DD"/>
    <w:rsid w:val="004003AB"/>
    <w:rsid w:val="00400905"/>
    <w:rsid w:val="00400C04"/>
    <w:rsid w:val="00403BC3"/>
    <w:rsid w:val="004041E4"/>
    <w:rsid w:val="00404F26"/>
    <w:rsid w:val="00405111"/>
    <w:rsid w:val="00405135"/>
    <w:rsid w:val="00405C0E"/>
    <w:rsid w:val="00405CC8"/>
    <w:rsid w:val="00406A09"/>
    <w:rsid w:val="00407CB1"/>
    <w:rsid w:val="00411506"/>
    <w:rsid w:val="00411A8B"/>
    <w:rsid w:val="004121EB"/>
    <w:rsid w:val="00412278"/>
    <w:rsid w:val="00412FCC"/>
    <w:rsid w:val="00413506"/>
    <w:rsid w:val="00413D04"/>
    <w:rsid w:val="004145B0"/>
    <w:rsid w:val="004154F6"/>
    <w:rsid w:val="00415615"/>
    <w:rsid w:val="00415781"/>
    <w:rsid w:val="00415AB3"/>
    <w:rsid w:val="00415FD0"/>
    <w:rsid w:val="004169AF"/>
    <w:rsid w:val="004170EB"/>
    <w:rsid w:val="0041729D"/>
    <w:rsid w:val="004215E4"/>
    <w:rsid w:val="004256FC"/>
    <w:rsid w:val="00426DD6"/>
    <w:rsid w:val="00427008"/>
    <w:rsid w:val="00430058"/>
    <w:rsid w:val="004307BF"/>
    <w:rsid w:val="00430B0E"/>
    <w:rsid w:val="00430BE5"/>
    <w:rsid w:val="00431C05"/>
    <w:rsid w:val="00432AE2"/>
    <w:rsid w:val="00432DAF"/>
    <w:rsid w:val="0043383A"/>
    <w:rsid w:val="00433E66"/>
    <w:rsid w:val="0043493C"/>
    <w:rsid w:val="00434B02"/>
    <w:rsid w:val="00434BF5"/>
    <w:rsid w:val="00435503"/>
    <w:rsid w:val="0043596E"/>
    <w:rsid w:val="00435F6F"/>
    <w:rsid w:val="00437339"/>
    <w:rsid w:val="00437357"/>
    <w:rsid w:val="004419ED"/>
    <w:rsid w:val="004447FD"/>
    <w:rsid w:val="00445C19"/>
    <w:rsid w:val="00445F16"/>
    <w:rsid w:val="0044755F"/>
    <w:rsid w:val="004477B8"/>
    <w:rsid w:val="00447E06"/>
    <w:rsid w:val="00451572"/>
    <w:rsid w:val="00451A67"/>
    <w:rsid w:val="00451F67"/>
    <w:rsid w:val="00452165"/>
    <w:rsid w:val="00454298"/>
    <w:rsid w:val="00454899"/>
    <w:rsid w:val="00455D63"/>
    <w:rsid w:val="00456059"/>
    <w:rsid w:val="00456AD1"/>
    <w:rsid w:val="0046042F"/>
    <w:rsid w:val="00461188"/>
    <w:rsid w:val="00461A91"/>
    <w:rsid w:val="00462095"/>
    <w:rsid w:val="00462CB7"/>
    <w:rsid w:val="00462EAE"/>
    <w:rsid w:val="00464C1D"/>
    <w:rsid w:val="00464E51"/>
    <w:rsid w:val="00466FD9"/>
    <w:rsid w:val="004671A9"/>
    <w:rsid w:val="004676B4"/>
    <w:rsid w:val="00467AB1"/>
    <w:rsid w:val="00467F6B"/>
    <w:rsid w:val="004701A7"/>
    <w:rsid w:val="00470270"/>
    <w:rsid w:val="0047117C"/>
    <w:rsid w:val="00471D9F"/>
    <w:rsid w:val="004720A0"/>
    <w:rsid w:val="0047220E"/>
    <w:rsid w:val="00472227"/>
    <w:rsid w:val="00472332"/>
    <w:rsid w:val="00473425"/>
    <w:rsid w:val="00473912"/>
    <w:rsid w:val="00473DE7"/>
    <w:rsid w:val="00474F07"/>
    <w:rsid w:val="00475784"/>
    <w:rsid w:val="0047751C"/>
    <w:rsid w:val="0047754C"/>
    <w:rsid w:val="0048153A"/>
    <w:rsid w:val="00481C27"/>
    <w:rsid w:val="00482685"/>
    <w:rsid w:val="004827B7"/>
    <w:rsid w:val="00482933"/>
    <w:rsid w:val="00483BF6"/>
    <w:rsid w:val="00485540"/>
    <w:rsid w:val="0048609C"/>
    <w:rsid w:val="00486D63"/>
    <w:rsid w:val="004870CE"/>
    <w:rsid w:val="00490126"/>
    <w:rsid w:val="00490374"/>
    <w:rsid w:val="004909B4"/>
    <w:rsid w:val="004913FD"/>
    <w:rsid w:val="00491898"/>
    <w:rsid w:val="0049279A"/>
    <w:rsid w:val="0049327B"/>
    <w:rsid w:val="0049409F"/>
    <w:rsid w:val="0049495B"/>
    <w:rsid w:val="00495FAF"/>
    <w:rsid w:val="004962B3"/>
    <w:rsid w:val="004974B3"/>
    <w:rsid w:val="004A1725"/>
    <w:rsid w:val="004A17D9"/>
    <w:rsid w:val="004A28E8"/>
    <w:rsid w:val="004A3080"/>
    <w:rsid w:val="004A4702"/>
    <w:rsid w:val="004A4B19"/>
    <w:rsid w:val="004A54CE"/>
    <w:rsid w:val="004A5CF8"/>
    <w:rsid w:val="004A5F3B"/>
    <w:rsid w:val="004A6440"/>
    <w:rsid w:val="004A71B1"/>
    <w:rsid w:val="004A72CC"/>
    <w:rsid w:val="004B14F9"/>
    <w:rsid w:val="004B1EFD"/>
    <w:rsid w:val="004B2636"/>
    <w:rsid w:val="004B4B81"/>
    <w:rsid w:val="004B681F"/>
    <w:rsid w:val="004C087D"/>
    <w:rsid w:val="004C08EE"/>
    <w:rsid w:val="004C1BFE"/>
    <w:rsid w:val="004C3A89"/>
    <w:rsid w:val="004C6F26"/>
    <w:rsid w:val="004C7364"/>
    <w:rsid w:val="004C740B"/>
    <w:rsid w:val="004C79F4"/>
    <w:rsid w:val="004C7D04"/>
    <w:rsid w:val="004D0087"/>
    <w:rsid w:val="004D0AAC"/>
    <w:rsid w:val="004D1012"/>
    <w:rsid w:val="004D1052"/>
    <w:rsid w:val="004D179C"/>
    <w:rsid w:val="004D17F6"/>
    <w:rsid w:val="004D1B9F"/>
    <w:rsid w:val="004D3222"/>
    <w:rsid w:val="004D3DB9"/>
    <w:rsid w:val="004D577F"/>
    <w:rsid w:val="004D6469"/>
    <w:rsid w:val="004D77C3"/>
    <w:rsid w:val="004E097D"/>
    <w:rsid w:val="004E13AE"/>
    <w:rsid w:val="004E14C4"/>
    <w:rsid w:val="004E1F1D"/>
    <w:rsid w:val="004E5361"/>
    <w:rsid w:val="004E539E"/>
    <w:rsid w:val="004E5C8F"/>
    <w:rsid w:val="004E6A1F"/>
    <w:rsid w:val="004E7098"/>
    <w:rsid w:val="004F1F95"/>
    <w:rsid w:val="004F2B1C"/>
    <w:rsid w:val="004F2CBF"/>
    <w:rsid w:val="004F4F9D"/>
    <w:rsid w:val="004F5D91"/>
    <w:rsid w:val="004F5FC6"/>
    <w:rsid w:val="004F6856"/>
    <w:rsid w:val="004F6FA3"/>
    <w:rsid w:val="00500299"/>
    <w:rsid w:val="00500534"/>
    <w:rsid w:val="005006E9"/>
    <w:rsid w:val="00500C99"/>
    <w:rsid w:val="00501C1D"/>
    <w:rsid w:val="00501C1F"/>
    <w:rsid w:val="00501E97"/>
    <w:rsid w:val="005020AB"/>
    <w:rsid w:val="00502DC6"/>
    <w:rsid w:val="00503F04"/>
    <w:rsid w:val="00505F13"/>
    <w:rsid w:val="00505FA1"/>
    <w:rsid w:val="00506B83"/>
    <w:rsid w:val="00507A7D"/>
    <w:rsid w:val="0051010B"/>
    <w:rsid w:val="00510B56"/>
    <w:rsid w:val="005113B0"/>
    <w:rsid w:val="00511428"/>
    <w:rsid w:val="0051299A"/>
    <w:rsid w:val="00512E65"/>
    <w:rsid w:val="0051331B"/>
    <w:rsid w:val="005133DB"/>
    <w:rsid w:val="00513986"/>
    <w:rsid w:val="00513CD1"/>
    <w:rsid w:val="00515103"/>
    <w:rsid w:val="00516DB9"/>
    <w:rsid w:val="0051731B"/>
    <w:rsid w:val="00517BF5"/>
    <w:rsid w:val="00522C7F"/>
    <w:rsid w:val="00524144"/>
    <w:rsid w:val="005247E6"/>
    <w:rsid w:val="0052659B"/>
    <w:rsid w:val="00530CA9"/>
    <w:rsid w:val="0053168C"/>
    <w:rsid w:val="00532039"/>
    <w:rsid w:val="00532737"/>
    <w:rsid w:val="00532B57"/>
    <w:rsid w:val="005342A3"/>
    <w:rsid w:val="00534840"/>
    <w:rsid w:val="00534E5E"/>
    <w:rsid w:val="00535CA3"/>
    <w:rsid w:val="0053617B"/>
    <w:rsid w:val="005365BB"/>
    <w:rsid w:val="00536B0B"/>
    <w:rsid w:val="00536BFC"/>
    <w:rsid w:val="00537CC9"/>
    <w:rsid w:val="00537E90"/>
    <w:rsid w:val="00537F90"/>
    <w:rsid w:val="00543745"/>
    <w:rsid w:val="00543B8F"/>
    <w:rsid w:val="00543E9A"/>
    <w:rsid w:val="00544480"/>
    <w:rsid w:val="00545AC7"/>
    <w:rsid w:val="00545C76"/>
    <w:rsid w:val="00546255"/>
    <w:rsid w:val="00547FCA"/>
    <w:rsid w:val="00551153"/>
    <w:rsid w:val="00551708"/>
    <w:rsid w:val="0055259D"/>
    <w:rsid w:val="00552A74"/>
    <w:rsid w:val="0055319C"/>
    <w:rsid w:val="00553A8C"/>
    <w:rsid w:val="00553B2C"/>
    <w:rsid w:val="00554A21"/>
    <w:rsid w:val="00554A45"/>
    <w:rsid w:val="005552D8"/>
    <w:rsid w:val="00556110"/>
    <w:rsid w:val="0055667C"/>
    <w:rsid w:val="00556B98"/>
    <w:rsid w:val="00556C82"/>
    <w:rsid w:val="00556C9B"/>
    <w:rsid w:val="0056133A"/>
    <w:rsid w:val="00561CC2"/>
    <w:rsid w:val="00562A9F"/>
    <w:rsid w:val="00563521"/>
    <w:rsid w:val="00565EBF"/>
    <w:rsid w:val="005663B2"/>
    <w:rsid w:val="005676EF"/>
    <w:rsid w:val="00567E26"/>
    <w:rsid w:val="00571946"/>
    <w:rsid w:val="00571D40"/>
    <w:rsid w:val="00571EF5"/>
    <w:rsid w:val="00572E16"/>
    <w:rsid w:val="00573125"/>
    <w:rsid w:val="00573428"/>
    <w:rsid w:val="00573BC3"/>
    <w:rsid w:val="00574BCC"/>
    <w:rsid w:val="00575733"/>
    <w:rsid w:val="0057589D"/>
    <w:rsid w:val="00576472"/>
    <w:rsid w:val="00576B3D"/>
    <w:rsid w:val="00576D0E"/>
    <w:rsid w:val="005773EF"/>
    <w:rsid w:val="005778C5"/>
    <w:rsid w:val="005801AD"/>
    <w:rsid w:val="00581105"/>
    <w:rsid w:val="00581E32"/>
    <w:rsid w:val="005820CA"/>
    <w:rsid w:val="005829D6"/>
    <w:rsid w:val="00582C91"/>
    <w:rsid w:val="00583441"/>
    <w:rsid w:val="00583AE7"/>
    <w:rsid w:val="00583C4A"/>
    <w:rsid w:val="00583E45"/>
    <w:rsid w:val="00584551"/>
    <w:rsid w:val="00584AE2"/>
    <w:rsid w:val="00584B76"/>
    <w:rsid w:val="00584B83"/>
    <w:rsid w:val="00584F93"/>
    <w:rsid w:val="0058536E"/>
    <w:rsid w:val="00585BBF"/>
    <w:rsid w:val="00586137"/>
    <w:rsid w:val="00586648"/>
    <w:rsid w:val="00586AB9"/>
    <w:rsid w:val="00586D6F"/>
    <w:rsid w:val="00587367"/>
    <w:rsid w:val="0059191D"/>
    <w:rsid w:val="00591CFE"/>
    <w:rsid w:val="00591F7F"/>
    <w:rsid w:val="00592EB1"/>
    <w:rsid w:val="00593A5F"/>
    <w:rsid w:val="00595A35"/>
    <w:rsid w:val="00596231"/>
    <w:rsid w:val="0059642D"/>
    <w:rsid w:val="005968DF"/>
    <w:rsid w:val="00596C8E"/>
    <w:rsid w:val="00597079"/>
    <w:rsid w:val="00597BA6"/>
    <w:rsid w:val="005A0181"/>
    <w:rsid w:val="005A1984"/>
    <w:rsid w:val="005A21FF"/>
    <w:rsid w:val="005A2769"/>
    <w:rsid w:val="005A4A4D"/>
    <w:rsid w:val="005A5486"/>
    <w:rsid w:val="005A6025"/>
    <w:rsid w:val="005A6208"/>
    <w:rsid w:val="005A6893"/>
    <w:rsid w:val="005A70DD"/>
    <w:rsid w:val="005A78B8"/>
    <w:rsid w:val="005B088A"/>
    <w:rsid w:val="005B0A4B"/>
    <w:rsid w:val="005B1150"/>
    <w:rsid w:val="005B19BF"/>
    <w:rsid w:val="005B1FD1"/>
    <w:rsid w:val="005B32CD"/>
    <w:rsid w:val="005B461C"/>
    <w:rsid w:val="005B55B4"/>
    <w:rsid w:val="005B57FA"/>
    <w:rsid w:val="005B5813"/>
    <w:rsid w:val="005B605A"/>
    <w:rsid w:val="005B6A8D"/>
    <w:rsid w:val="005C0461"/>
    <w:rsid w:val="005C068B"/>
    <w:rsid w:val="005C09B1"/>
    <w:rsid w:val="005C11D7"/>
    <w:rsid w:val="005C30F1"/>
    <w:rsid w:val="005C3171"/>
    <w:rsid w:val="005C572D"/>
    <w:rsid w:val="005C61DF"/>
    <w:rsid w:val="005C75B2"/>
    <w:rsid w:val="005D015C"/>
    <w:rsid w:val="005D1568"/>
    <w:rsid w:val="005D1F48"/>
    <w:rsid w:val="005D23AB"/>
    <w:rsid w:val="005D410F"/>
    <w:rsid w:val="005D53FB"/>
    <w:rsid w:val="005D5769"/>
    <w:rsid w:val="005D5A70"/>
    <w:rsid w:val="005D676F"/>
    <w:rsid w:val="005E0DFA"/>
    <w:rsid w:val="005E2F2B"/>
    <w:rsid w:val="005E4D8C"/>
    <w:rsid w:val="005E5BCC"/>
    <w:rsid w:val="005E65C9"/>
    <w:rsid w:val="005E680E"/>
    <w:rsid w:val="005E7A92"/>
    <w:rsid w:val="005E7C21"/>
    <w:rsid w:val="005F18C9"/>
    <w:rsid w:val="005F22C1"/>
    <w:rsid w:val="005F311F"/>
    <w:rsid w:val="005F3A8F"/>
    <w:rsid w:val="005F3CCA"/>
    <w:rsid w:val="005F4CA3"/>
    <w:rsid w:val="005F54DA"/>
    <w:rsid w:val="005F5595"/>
    <w:rsid w:val="005F58BB"/>
    <w:rsid w:val="005F5A64"/>
    <w:rsid w:val="005F6EFC"/>
    <w:rsid w:val="005F76FF"/>
    <w:rsid w:val="005F779A"/>
    <w:rsid w:val="005F7D34"/>
    <w:rsid w:val="00601118"/>
    <w:rsid w:val="006011CF"/>
    <w:rsid w:val="006028E1"/>
    <w:rsid w:val="00602BEB"/>
    <w:rsid w:val="006032EB"/>
    <w:rsid w:val="0060355C"/>
    <w:rsid w:val="00603C31"/>
    <w:rsid w:val="00604313"/>
    <w:rsid w:val="006048C4"/>
    <w:rsid w:val="0060493B"/>
    <w:rsid w:val="00604BFA"/>
    <w:rsid w:val="0060538C"/>
    <w:rsid w:val="006057D4"/>
    <w:rsid w:val="00605893"/>
    <w:rsid w:val="00605D26"/>
    <w:rsid w:val="00606C41"/>
    <w:rsid w:val="00607410"/>
    <w:rsid w:val="006101F3"/>
    <w:rsid w:val="006116ED"/>
    <w:rsid w:val="00611EEE"/>
    <w:rsid w:val="006122D2"/>
    <w:rsid w:val="00612434"/>
    <w:rsid w:val="00613504"/>
    <w:rsid w:val="00614BF8"/>
    <w:rsid w:val="00615238"/>
    <w:rsid w:val="00616195"/>
    <w:rsid w:val="006164BA"/>
    <w:rsid w:val="00617254"/>
    <w:rsid w:val="00620155"/>
    <w:rsid w:val="00620172"/>
    <w:rsid w:val="00621044"/>
    <w:rsid w:val="0062288D"/>
    <w:rsid w:val="00622990"/>
    <w:rsid w:val="006236B9"/>
    <w:rsid w:val="00624C09"/>
    <w:rsid w:val="00624C20"/>
    <w:rsid w:val="006256F3"/>
    <w:rsid w:val="00625860"/>
    <w:rsid w:val="00625FBF"/>
    <w:rsid w:val="00626FC0"/>
    <w:rsid w:val="0063122A"/>
    <w:rsid w:val="00631726"/>
    <w:rsid w:val="006318D3"/>
    <w:rsid w:val="00631B3A"/>
    <w:rsid w:val="006332E1"/>
    <w:rsid w:val="006334D9"/>
    <w:rsid w:val="00634377"/>
    <w:rsid w:val="00634871"/>
    <w:rsid w:val="00634A35"/>
    <w:rsid w:val="0063518E"/>
    <w:rsid w:val="006354CD"/>
    <w:rsid w:val="00635B8F"/>
    <w:rsid w:val="00635C61"/>
    <w:rsid w:val="00636818"/>
    <w:rsid w:val="00636E9A"/>
    <w:rsid w:val="00636F64"/>
    <w:rsid w:val="00637702"/>
    <w:rsid w:val="00637AB6"/>
    <w:rsid w:val="0064014C"/>
    <w:rsid w:val="00640487"/>
    <w:rsid w:val="00641FF8"/>
    <w:rsid w:val="0064227A"/>
    <w:rsid w:val="00642F95"/>
    <w:rsid w:val="00643C98"/>
    <w:rsid w:val="006441A0"/>
    <w:rsid w:val="00644D2D"/>
    <w:rsid w:val="00645845"/>
    <w:rsid w:val="00645E5D"/>
    <w:rsid w:val="00646766"/>
    <w:rsid w:val="00650655"/>
    <w:rsid w:val="0065075A"/>
    <w:rsid w:val="006526BB"/>
    <w:rsid w:val="00653B2D"/>
    <w:rsid w:val="00653F83"/>
    <w:rsid w:val="00653F87"/>
    <w:rsid w:val="006540FB"/>
    <w:rsid w:val="00654826"/>
    <w:rsid w:val="00654E83"/>
    <w:rsid w:val="00655F57"/>
    <w:rsid w:val="00656667"/>
    <w:rsid w:val="00656738"/>
    <w:rsid w:val="00656D6A"/>
    <w:rsid w:val="006608EA"/>
    <w:rsid w:val="00662891"/>
    <w:rsid w:val="00663532"/>
    <w:rsid w:val="0066364B"/>
    <w:rsid w:val="00663912"/>
    <w:rsid w:val="0066417B"/>
    <w:rsid w:val="006645B6"/>
    <w:rsid w:val="00666FFC"/>
    <w:rsid w:val="006702D1"/>
    <w:rsid w:val="0067167E"/>
    <w:rsid w:val="006718B6"/>
    <w:rsid w:val="00671F66"/>
    <w:rsid w:val="00671FA8"/>
    <w:rsid w:val="00674FD9"/>
    <w:rsid w:val="00675C65"/>
    <w:rsid w:val="00676DBE"/>
    <w:rsid w:val="00677C80"/>
    <w:rsid w:val="006810F2"/>
    <w:rsid w:val="006817D4"/>
    <w:rsid w:val="00681B28"/>
    <w:rsid w:val="00681D3F"/>
    <w:rsid w:val="0068256F"/>
    <w:rsid w:val="00682853"/>
    <w:rsid w:val="00683297"/>
    <w:rsid w:val="00683CC2"/>
    <w:rsid w:val="00683F50"/>
    <w:rsid w:val="00684DB0"/>
    <w:rsid w:val="00685A06"/>
    <w:rsid w:val="006906EB"/>
    <w:rsid w:val="006913CD"/>
    <w:rsid w:val="00691EF6"/>
    <w:rsid w:val="006934FB"/>
    <w:rsid w:val="00693A03"/>
    <w:rsid w:val="00693F77"/>
    <w:rsid w:val="00694EFE"/>
    <w:rsid w:val="00695530"/>
    <w:rsid w:val="006957BD"/>
    <w:rsid w:val="0069581E"/>
    <w:rsid w:val="00696192"/>
    <w:rsid w:val="006974D4"/>
    <w:rsid w:val="006A2A74"/>
    <w:rsid w:val="006A3C9D"/>
    <w:rsid w:val="006A3D48"/>
    <w:rsid w:val="006A44F2"/>
    <w:rsid w:val="006A4FFC"/>
    <w:rsid w:val="006A53D1"/>
    <w:rsid w:val="006A631E"/>
    <w:rsid w:val="006B06AB"/>
    <w:rsid w:val="006B0C8D"/>
    <w:rsid w:val="006B1257"/>
    <w:rsid w:val="006B1669"/>
    <w:rsid w:val="006B32D3"/>
    <w:rsid w:val="006B3519"/>
    <w:rsid w:val="006B35B3"/>
    <w:rsid w:val="006B371B"/>
    <w:rsid w:val="006B4D2B"/>
    <w:rsid w:val="006B63AF"/>
    <w:rsid w:val="006B686C"/>
    <w:rsid w:val="006B69EA"/>
    <w:rsid w:val="006B7788"/>
    <w:rsid w:val="006B7904"/>
    <w:rsid w:val="006B7F27"/>
    <w:rsid w:val="006C0E48"/>
    <w:rsid w:val="006C1480"/>
    <w:rsid w:val="006C1D59"/>
    <w:rsid w:val="006C210A"/>
    <w:rsid w:val="006C22F7"/>
    <w:rsid w:val="006C2867"/>
    <w:rsid w:val="006C36E4"/>
    <w:rsid w:val="006C3CD6"/>
    <w:rsid w:val="006C4EB7"/>
    <w:rsid w:val="006C5354"/>
    <w:rsid w:val="006C6615"/>
    <w:rsid w:val="006C6E78"/>
    <w:rsid w:val="006D1C1A"/>
    <w:rsid w:val="006D1ED8"/>
    <w:rsid w:val="006D21B5"/>
    <w:rsid w:val="006D2414"/>
    <w:rsid w:val="006D292B"/>
    <w:rsid w:val="006D3BB5"/>
    <w:rsid w:val="006D51E7"/>
    <w:rsid w:val="006D5345"/>
    <w:rsid w:val="006D54B2"/>
    <w:rsid w:val="006E03C6"/>
    <w:rsid w:val="006E114E"/>
    <w:rsid w:val="006E245A"/>
    <w:rsid w:val="006E3807"/>
    <w:rsid w:val="006E3D11"/>
    <w:rsid w:val="006E418F"/>
    <w:rsid w:val="006E426A"/>
    <w:rsid w:val="006E5F43"/>
    <w:rsid w:val="006E7626"/>
    <w:rsid w:val="006F02FF"/>
    <w:rsid w:val="006F0C04"/>
    <w:rsid w:val="006F0CB4"/>
    <w:rsid w:val="006F1009"/>
    <w:rsid w:val="006F213E"/>
    <w:rsid w:val="006F2F9F"/>
    <w:rsid w:val="006F3EDE"/>
    <w:rsid w:val="006F4E5E"/>
    <w:rsid w:val="006F6854"/>
    <w:rsid w:val="006F6ADF"/>
    <w:rsid w:val="006F71FA"/>
    <w:rsid w:val="006F7B72"/>
    <w:rsid w:val="006F7E6F"/>
    <w:rsid w:val="007010A8"/>
    <w:rsid w:val="007023A8"/>
    <w:rsid w:val="00702663"/>
    <w:rsid w:val="007026D9"/>
    <w:rsid w:val="007033E6"/>
    <w:rsid w:val="007039EC"/>
    <w:rsid w:val="00703B05"/>
    <w:rsid w:val="00703B9A"/>
    <w:rsid w:val="007043FF"/>
    <w:rsid w:val="007049A3"/>
    <w:rsid w:val="007049F4"/>
    <w:rsid w:val="00705182"/>
    <w:rsid w:val="00705CF4"/>
    <w:rsid w:val="0070656B"/>
    <w:rsid w:val="00706AD8"/>
    <w:rsid w:val="007070C8"/>
    <w:rsid w:val="00707AD8"/>
    <w:rsid w:val="00710525"/>
    <w:rsid w:val="00710763"/>
    <w:rsid w:val="00710E30"/>
    <w:rsid w:val="00711FCC"/>
    <w:rsid w:val="00713922"/>
    <w:rsid w:val="0071493B"/>
    <w:rsid w:val="007167AF"/>
    <w:rsid w:val="00716B63"/>
    <w:rsid w:val="00717068"/>
    <w:rsid w:val="00717107"/>
    <w:rsid w:val="00717DEF"/>
    <w:rsid w:val="00717EBF"/>
    <w:rsid w:val="00720D24"/>
    <w:rsid w:val="00720D79"/>
    <w:rsid w:val="00721ECA"/>
    <w:rsid w:val="007241C7"/>
    <w:rsid w:val="007247E1"/>
    <w:rsid w:val="00724BDF"/>
    <w:rsid w:val="00724D73"/>
    <w:rsid w:val="007258A3"/>
    <w:rsid w:val="00726D1C"/>
    <w:rsid w:val="00730FCB"/>
    <w:rsid w:val="0073100D"/>
    <w:rsid w:val="00733630"/>
    <w:rsid w:val="0073489A"/>
    <w:rsid w:val="00737764"/>
    <w:rsid w:val="0074201D"/>
    <w:rsid w:val="0074489F"/>
    <w:rsid w:val="00747B3D"/>
    <w:rsid w:val="00751113"/>
    <w:rsid w:val="00751FE4"/>
    <w:rsid w:val="007521DC"/>
    <w:rsid w:val="00752CF3"/>
    <w:rsid w:val="007531B5"/>
    <w:rsid w:val="007533A1"/>
    <w:rsid w:val="007534B8"/>
    <w:rsid w:val="00753549"/>
    <w:rsid w:val="00755C2F"/>
    <w:rsid w:val="00756286"/>
    <w:rsid w:val="0075689A"/>
    <w:rsid w:val="007569E7"/>
    <w:rsid w:val="00757226"/>
    <w:rsid w:val="00757548"/>
    <w:rsid w:val="00757734"/>
    <w:rsid w:val="00757B61"/>
    <w:rsid w:val="00757FF1"/>
    <w:rsid w:val="007600A0"/>
    <w:rsid w:val="00761652"/>
    <w:rsid w:val="00761A13"/>
    <w:rsid w:val="00762A6B"/>
    <w:rsid w:val="00762FC1"/>
    <w:rsid w:val="00763989"/>
    <w:rsid w:val="00764C88"/>
    <w:rsid w:val="0076510C"/>
    <w:rsid w:val="00766281"/>
    <w:rsid w:val="00766880"/>
    <w:rsid w:val="00766D64"/>
    <w:rsid w:val="00770BD1"/>
    <w:rsid w:val="007714D7"/>
    <w:rsid w:val="00771D6E"/>
    <w:rsid w:val="0077206F"/>
    <w:rsid w:val="00772941"/>
    <w:rsid w:val="00772A85"/>
    <w:rsid w:val="00773D67"/>
    <w:rsid w:val="00773F2C"/>
    <w:rsid w:val="007740A9"/>
    <w:rsid w:val="0077439C"/>
    <w:rsid w:val="00774ABA"/>
    <w:rsid w:val="007753D4"/>
    <w:rsid w:val="007755F1"/>
    <w:rsid w:val="00775946"/>
    <w:rsid w:val="007767B4"/>
    <w:rsid w:val="00777411"/>
    <w:rsid w:val="00777C29"/>
    <w:rsid w:val="00777E10"/>
    <w:rsid w:val="00777F06"/>
    <w:rsid w:val="0078033F"/>
    <w:rsid w:val="00780D93"/>
    <w:rsid w:val="0078222E"/>
    <w:rsid w:val="00782C4C"/>
    <w:rsid w:val="007835F2"/>
    <w:rsid w:val="00783603"/>
    <w:rsid w:val="00786141"/>
    <w:rsid w:val="007867FB"/>
    <w:rsid w:val="00787C7A"/>
    <w:rsid w:val="00791CE1"/>
    <w:rsid w:val="00791F77"/>
    <w:rsid w:val="0079241E"/>
    <w:rsid w:val="007926DE"/>
    <w:rsid w:val="00792788"/>
    <w:rsid w:val="0079283F"/>
    <w:rsid w:val="00792AAD"/>
    <w:rsid w:val="007934B0"/>
    <w:rsid w:val="00793E9B"/>
    <w:rsid w:val="00793EA3"/>
    <w:rsid w:val="0079484E"/>
    <w:rsid w:val="00794CBE"/>
    <w:rsid w:val="00795A42"/>
    <w:rsid w:val="00795B3D"/>
    <w:rsid w:val="00795BD8"/>
    <w:rsid w:val="00797E07"/>
    <w:rsid w:val="007A247B"/>
    <w:rsid w:val="007A35D0"/>
    <w:rsid w:val="007A3FA3"/>
    <w:rsid w:val="007A433B"/>
    <w:rsid w:val="007A46E9"/>
    <w:rsid w:val="007A6DE4"/>
    <w:rsid w:val="007A7263"/>
    <w:rsid w:val="007A765B"/>
    <w:rsid w:val="007A7904"/>
    <w:rsid w:val="007A7CAB"/>
    <w:rsid w:val="007B1119"/>
    <w:rsid w:val="007B1665"/>
    <w:rsid w:val="007B322C"/>
    <w:rsid w:val="007B3F12"/>
    <w:rsid w:val="007B47DC"/>
    <w:rsid w:val="007B4F5E"/>
    <w:rsid w:val="007B50F8"/>
    <w:rsid w:val="007B613E"/>
    <w:rsid w:val="007B6A0E"/>
    <w:rsid w:val="007B6AF9"/>
    <w:rsid w:val="007B6F07"/>
    <w:rsid w:val="007B78D3"/>
    <w:rsid w:val="007C0AEC"/>
    <w:rsid w:val="007C1759"/>
    <w:rsid w:val="007C191A"/>
    <w:rsid w:val="007C46F5"/>
    <w:rsid w:val="007C4763"/>
    <w:rsid w:val="007C563C"/>
    <w:rsid w:val="007C59B7"/>
    <w:rsid w:val="007C5D2E"/>
    <w:rsid w:val="007C6560"/>
    <w:rsid w:val="007C684B"/>
    <w:rsid w:val="007C688A"/>
    <w:rsid w:val="007D1E95"/>
    <w:rsid w:val="007D3136"/>
    <w:rsid w:val="007D3A26"/>
    <w:rsid w:val="007D473F"/>
    <w:rsid w:val="007D79D2"/>
    <w:rsid w:val="007E2135"/>
    <w:rsid w:val="007E319E"/>
    <w:rsid w:val="007E3F7B"/>
    <w:rsid w:val="007E4199"/>
    <w:rsid w:val="007E4CA4"/>
    <w:rsid w:val="007E79D6"/>
    <w:rsid w:val="007E7FD6"/>
    <w:rsid w:val="007F13A7"/>
    <w:rsid w:val="007F34BE"/>
    <w:rsid w:val="007F46D4"/>
    <w:rsid w:val="007F5019"/>
    <w:rsid w:val="007F5947"/>
    <w:rsid w:val="007F5B14"/>
    <w:rsid w:val="007F6DF5"/>
    <w:rsid w:val="007F6F1F"/>
    <w:rsid w:val="007F7153"/>
    <w:rsid w:val="007F7351"/>
    <w:rsid w:val="008030BC"/>
    <w:rsid w:val="008037BF"/>
    <w:rsid w:val="00803F94"/>
    <w:rsid w:val="00804365"/>
    <w:rsid w:val="00804E07"/>
    <w:rsid w:val="00804E96"/>
    <w:rsid w:val="00805419"/>
    <w:rsid w:val="00805423"/>
    <w:rsid w:val="0080565E"/>
    <w:rsid w:val="00806A49"/>
    <w:rsid w:val="00812616"/>
    <w:rsid w:val="008133F3"/>
    <w:rsid w:val="00814383"/>
    <w:rsid w:val="008148A0"/>
    <w:rsid w:val="00815805"/>
    <w:rsid w:val="00815AA7"/>
    <w:rsid w:val="00815AD5"/>
    <w:rsid w:val="00816A38"/>
    <w:rsid w:val="008172E4"/>
    <w:rsid w:val="0081730E"/>
    <w:rsid w:val="0081748C"/>
    <w:rsid w:val="00817924"/>
    <w:rsid w:val="008179D8"/>
    <w:rsid w:val="00820104"/>
    <w:rsid w:val="0082015F"/>
    <w:rsid w:val="00820BC4"/>
    <w:rsid w:val="00820F60"/>
    <w:rsid w:val="0082231F"/>
    <w:rsid w:val="00822510"/>
    <w:rsid w:val="008232A6"/>
    <w:rsid w:val="00823C80"/>
    <w:rsid w:val="00823F52"/>
    <w:rsid w:val="00825969"/>
    <w:rsid w:val="00825A41"/>
    <w:rsid w:val="0082723A"/>
    <w:rsid w:val="008274BA"/>
    <w:rsid w:val="008306A0"/>
    <w:rsid w:val="00830EB7"/>
    <w:rsid w:val="00831D1C"/>
    <w:rsid w:val="00832D36"/>
    <w:rsid w:val="008330D1"/>
    <w:rsid w:val="00834A4F"/>
    <w:rsid w:val="00840689"/>
    <w:rsid w:val="0084155F"/>
    <w:rsid w:val="008430C3"/>
    <w:rsid w:val="00844611"/>
    <w:rsid w:val="008462D0"/>
    <w:rsid w:val="00846435"/>
    <w:rsid w:val="0085011E"/>
    <w:rsid w:val="0085068F"/>
    <w:rsid w:val="00850849"/>
    <w:rsid w:val="00850E43"/>
    <w:rsid w:val="0085112D"/>
    <w:rsid w:val="00853597"/>
    <w:rsid w:val="0085441E"/>
    <w:rsid w:val="00854467"/>
    <w:rsid w:val="008548C7"/>
    <w:rsid w:val="00854A83"/>
    <w:rsid w:val="008563C5"/>
    <w:rsid w:val="00856904"/>
    <w:rsid w:val="008573B1"/>
    <w:rsid w:val="0085757B"/>
    <w:rsid w:val="00860B87"/>
    <w:rsid w:val="00861C89"/>
    <w:rsid w:val="00863FB1"/>
    <w:rsid w:val="00863FFD"/>
    <w:rsid w:val="008641F5"/>
    <w:rsid w:val="00866E56"/>
    <w:rsid w:val="00870A87"/>
    <w:rsid w:val="008710F1"/>
    <w:rsid w:val="008711D3"/>
    <w:rsid w:val="0087124B"/>
    <w:rsid w:val="0087151D"/>
    <w:rsid w:val="008726A7"/>
    <w:rsid w:val="008737CC"/>
    <w:rsid w:val="0087422F"/>
    <w:rsid w:val="00875151"/>
    <w:rsid w:val="00875BA4"/>
    <w:rsid w:val="00877104"/>
    <w:rsid w:val="008772D9"/>
    <w:rsid w:val="0087756F"/>
    <w:rsid w:val="008775DB"/>
    <w:rsid w:val="008775FE"/>
    <w:rsid w:val="00881DCC"/>
    <w:rsid w:val="00882A82"/>
    <w:rsid w:val="0088328F"/>
    <w:rsid w:val="008838B6"/>
    <w:rsid w:val="00884586"/>
    <w:rsid w:val="00884A0B"/>
    <w:rsid w:val="00884C02"/>
    <w:rsid w:val="00885883"/>
    <w:rsid w:val="008858C1"/>
    <w:rsid w:val="00886178"/>
    <w:rsid w:val="00887442"/>
    <w:rsid w:val="00892927"/>
    <w:rsid w:val="00893135"/>
    <w:rsid w:val="0089385E"/>
    <w:rsid w:val="00893F8A"/>
    <w:rsid w:val="008952F9"/>
    <w:rsid w:val="0089534F"/>
    <w:rsid w:val="00895532"/>
    <w:rsid w:val="00895A86"/>
    <w:rsid w:val="00895B35"/>
    <w:rsid w:val="00896195"/>
    <w:rsid w:val="00896439"/>
    <w:rsid w:val="008965D9"/>
    <w:rsid w:val="00896857"/>
    <w:rsid w:val="008968F5"/>
    <w:rsid w:val="00897162"/>
    <w:rsid w:val="00897225"/>
    <w:rsid w:val="008A3307"/>
    <w:rsid w:val="008A3362"/>
    <w:rsid w:val="008A41FA"/>
    <w:rsid w:val="008A4AD2"/>
    <w:rsid w:val="008A4E8B"/>
    <w:rsid w:val="008A5130"/>
    <w:rsid w:val="008A5C5B"/>
    <w:rsid w:val="008A629F"/>
    <w:rsid w:val="008A62A2"/>
    <w:rsid w:val="008A6E35"/>
    <w:rsid w:val="008B0960"/>
    <w:rsid w:val="008B113D"/>
    <w:rsid w:val="008B14D5"/>
    <w:rsid w:val="008B1F8C"/>
    <w:rsid w:val="008B23EA"/>
    <w:rsid w:val="008B4248"/>
    <w:rsid w:val="008B4286"/>
    <w:rsid w:val="008B4474"/>
    <w:rsid w:val="008B4A4F"/>
    <w:rsid w:val="008B54F5"/>
    <w:rsid w:val="008B6082"/>
    <w:rsid w:val="008B61F7"/>
    <w:rsid w:val="008C25AD"/>
    <w:rsid w:val="008C4CBB"/>
    <w:rsid w:val="008C6285"/>
    <w:rsid w:val="008C6FF1"/>
    <w:rsid w:val="008C70D7"/>
    <w:rsid w:val="008C70E6"/>
    <w:rsid w:val="008C73EE"/>
    <w:rsid w:val="008C76A5"/>
    <w:rsid w:val="008D02BA"/>
    <w:rsid w:val="008D3287"/>
    <w:rsid w:val="008D5981"/>
    <w:rsid w:val="008D6281"/>
    <w:rsid w:val="008D6578"/>
    <w:rsid w:val="008D6FC0"/>
    <w:rsid w:val="008D70EC"/>
    <w:rsid w:val="008D7569"/>
    <w:rsid w:val="008D7998"/>
    <w:rsid w:val="008E1925"/>
    <w:rsid w:val="008E41BB"/>
    <w:rsid w:val="008E5162"/>
    <w:rsid w:val="008E5D37"/>
    <w:rsid w:val="008E5E2E"/>
    <w:rsid w:val="008E5EC7"/>
    <w:rsid w:val="008E6AD3"/>
    <w:rsid w:val="008E6C92"/>
    <w:rsid w:val="008E6FDE"/>
    <w:rsid w:val="008E74CA"/>
    <w:rsid w:val="008F09AF"/>
    <w:rsid w:val="008F0BF1"/>
    <w:rsid w:val="008F157F"/>
    <w:rsid w:val="008F1C04"/>
    <w:rsid w:val="008F2135"/>
    <w:rsid w:val="008F3149"/>
    <w:rsid w:val="008F33C6"/>
    <w:rsid w:val="008F343B"/>
    <w:rsid w:val="008F3796"/>
    <w:rsid w:val="008F417E"/>
    <w:rsid w:val="008F448E"/>
    <w:rsid w:val="008F44E3"/>
    <w:rsid w:val="008F4E68"/>
    <w:rsid w:val="008F4E9E"/>
    <w:rsid w:val="00900461"/>
    <w:rsid w:val="00901A2A"/>
    <w:rsid w:val="00901F72"/>
    <w:rsid w:val="00902699"/>
    <w:rsid w:val="00902A33"/>
    <w:rsid w:val="00903525"/>
    <w:rsid w:val="00903FE3"/>
    <w:rsid w:val="0090426B"/>
    <w:rsid w:val="009042BB"/>
    <w:rsid w:val="00904694"/>
    <w:rsid w:val="00904811"/>
    <w:rsid w:val="00904966"/>
    <w:rsid w:val="00904A13"/>
    <w:rsid w:val="00906504"/>
    <w:rsid w:val="00906A31"/>
    <w:rsid w:val="009072CF"/>
    <w:rsid w:val="009100FD"/>
    <w:rsid w:val="00911002"/>
    <w:rsid w:val="00911F40"/>
    <w:rsid w:val="0091269D"/>
    <w:rsid w:val="00913213"/>
    <w:rsid w:val="009140DB"/>
    <w:rsid w:val="0091489B"/>
    <w:rsid w:val="0091511A"/>
    <w:rsid w:val="0091549A"/>
    <w:rsid w:val="009167B1"/>
    <w:rsid w:val="00917A99"/>
    <w:rsid w:val="00917D03"/>
    <w:rsid w:val="00922753"/>
    <w:rsid w:val="00922884"/>
    <w:rsid w:val="00922D67"/>
    <w:rsid w:val="00922DB1"/>
    <w:rsid w:val="009236F1"/>
    <w:rsid w:val="00925C0C"/>
    <w:rsid w:val="0092662A"/>
    <w:rsid w:val="0092681F"/>
    <w:rsid w:val="00926EA6"/>
    <w:rsid w:val="0092792B"/>
    <w:rsid w:val="009279DD"/>
    <w:rsid w:val="00930075"/>
    <w:rsid w:val="00930266"/>
    <w:rsid w:val="009302E5"/>
    <w:rsid w:val="009306A2"/>
    <w:rsid w:val="0093080D"/>
    <w:rsid w:val="00930A24"/>
    <w:rsid w:val="00933658"/>
    <w:rsid w:val="00933959"/>
    <w:rsid w:val="00933A6D"/>
    <w:rsid w:val="00933B9B"/>
    <w:rsid w:val="0093470F"/>
    <w:rsid w:val="0093481B"/>
    <w:rsid w:val="00935CD7"/>
    <w:rsid w:val="00935E49"/>
    <w:rsid w:val="00936230"/>
    <w:rsid w:val="00936FD9"/>
    <w:rsid w:val="00937232"/>
    <w:rsid w:val="0094017D"/>
    <w:rsid w:val="009401AD"/>
    <w:rsid w:val="0094108A"/>
    <w:rsid w:val="00941289"/>
    <w:rsid w:val="009412EC"/>
    <w:rsid w:val="00942654"/>
    <w:rsid w:val="00942761"/>
    <w:rsid w:val="00942B7B"/>
    <w:rsid w:val="00942F07"/>
    <w:rsid w:val="00943893"/>
    <w:rsid w:val="00943D5F"/>
    <w:rsid w:val="0094421D"/>
    <w:rsid w:val="00946E7F"/>
    <w:rsid w:val="00946ED1"/>
    <w:rsid w:val="00947316"/>
    <w:rsid w:val="0094787B"/>
    <w:rsid w:val="00947883"/>
    <w:rsid w:val="0095046C"/>
    <w:rsid w:val="009517C9"/>
    <w:rsid w:val="00953786"/>
    <w:rsid w:val="00953E4A"/>
    <w:rsid w:val="00955BA1"/>
    <w:rsid w:val="009577FF"/>
    <w:rsid w:val="009579F8"/>
    <w:rsid w:val="00960CAB"/>
    <w:rsid w:val="0096270C"/>
    <w:rsid w:val="009629B8"/>
    <w:rsid w:val="0096415E"/>
    <w:rsid w:val="0096543F"/>
    <w:rsid w:val="009671DB"/>
    <w:rsid w:val="00970D41"/>
    <w:rsid w:val="009715A2"/>
    <w:rsid w:val="009715EE"/>
    <w:rsid w:val="00971F36"/>
    <w:rsid w:val="00972068"/>
    <w:rsid w:val="00972724"/>
    <w:rsid w:val="00973306"/>
    <w:rsid w:val="00973497"/>
    <w:rsid w:val="00973B69"/>
    <w:rsid w:val="0097426F"/>
    <w:rsid w:val="00974619"/>
    <w:rsid w:val="00974742"/>
    <w:rsid w:val="00974B31"/>
    <w:rsid w:val="00974CE6"/>
    <w:rsid w:val="00976973"/>
    <w:rsid w:val="00977F55"/>
    <w:rsid w:val="009814B1"/>
    <w:rsid w:val="00982397"/>
    <w:rsid w:val="009825B1"/>
    <w:rsid w:val="00983C8C"/>
    <w:rsid w:val="00985FA2"/>
    <w:rsid w:val="00986315"/>
    <w:rsid w:val="00990D8F"/>
    <w:rsid w:val="00991798"/>
    <w:rsid w:val="0099253E"/>
    <w:rsid w:val="009943D8"/>
    <w:rsid w:val="00994F8D"/>
    <w:rsid w:val="009962C4"/>
    <w:rsid w:val="00996477"/>
    <w:rsid w:val="00996556"/>
    <w:rsid w:val="00996B64"/>
    <w:rsid w:val="00996F9C"/>
    <w:rsid w:val="009A04E9"/>
    <w:rsid w:val="009A2885"/>
    <w:rsid w:val="009A298D"/>
    <w:rsid w:val="009A29FF"/>
    <w:rsid w:val="009A2FC3"/>
    <w:rsid w:val="009A3D6B"/>
    <w:rsid w:val="009A4189"/>
    <w:rsid w:val="009A447A"/>
    <w:rsid w:val="009A4787"/>
    <w:rsid w:val="009A4A80"/>
    <w:rsid w:val="009A5082"/>
    <w:rsid w:val="009A7B63"/>
    <w:rsid w:val="009B0360"/>
    <w:rsid w:val="009B0FE4"/>
    <w:rsid w:val="009B1EA5"/>
    <w:rsid w:val="009B2ADF"/>
    <w:rsid w:val="009B2C66"/>
    <w:rsid w:val="009B46B0"/>
    <w:rsid w:val="009B486B"/>
    <w:rsid w:val="009B4A8D"/>
    <w:rsid w:val="009B51E7"/>
    <w:rsid w:val="009B5730"/>
    <w:rsid w:val="009B6465"/>
    <w:rsid w:val="009B6B5F"/>
    <w:rsid w:val="009B70A8"/>
    <w:rsid w:val="009B7ABA"/>
    <w:rsid w:val="009C19AC"/>
    <w:rsid w:val="009C3FEE"/>
    <w:rsid w:val="009C45A2"/>
    <w:rsid w:val="009C5189"/>
    <w:rsid w:val="009C55DA"/>
    <w:rsid w:val="009C621C"/>
    <w:rsid w:val="009C6340"/>
    <w:rsid w:val="009D3D61"/>
    <w:rsid w:val="009D5348"/>
    <w:rsid w:val="009E0AD5"/>
    <w:rsid w:val="009E0CAC"/>
    <w:rsid w:val="009E19FE"/>
    <w:rsid w:val="009E2C09"/>
    <w:rsid w:val="009E2CA3"/>
    <w:rsid w:val="009E3FEC"/>
    <w:rsid w:val="009E579C"/>
    <w:rsid w:val="009E66EE"/>
    <w:rsid w:val="009E6DB5"/>
    <w:rsid w:val="009E70E5"/>
    <w:rsid w:val="009E7FE5"/>
    <w:rsid w:val="009F00BB"/>
    <w:rsid w:val="009F05B5"/>
    <w:rsid w:val="009F0E83"/>
    <w:rsid w:val="009F1033"/>
    <w:rsid w:val="009F171F"/>
    <w:rsid w:val="009F20E1"/>
    <w:rsid w:val="009F325A"/>
    <w:rsid w:val="009F348C"/>
    <w:rsid w:val="009F3B16"/>
    <w:rsid w:val="009F5C6B"/>
    <w:rsid w:val="009F5EF1"/>
    <w:rsid w:val="009F6940"/>
    <w:rsid w:val="009F7C2E"/>
    <w:rsid w:val="00A00AAB"/>
    <w:rsid w:val="00A03003"/>
    <w:rsid w:val="00A033DE"/>
    <w:rsid w:val="00A0342E"/>
    <w:rsid w:val="00A04CC9"/>
    <w:rsid w:val="00A0668F"/>
    <w:rsid w:val="00A103F0"/>
    <w:rsid w:val="00A107B1"/>
    <w:rsid w:val="00A10D23"/>
    <w:rsid w:val="00A11796"/>
    <w:rsid w:val="00A11A24"/>
    <w:rsid w:val="00A1275F"/>
    <w:rsid w:val="00A16572"/>
    <w:rsid w:val="00A16B52"/>
    <w:rsid w:val="00A16DEA"/>
    <w:rsid w:val="00A16F45"/>
    <w:rsid w:val="00A203C5"/>
    <w:rsid w:val="00A2107F"/>
    <w:rsid w:val="00A21950"/>
    <w:rsid w:val="00A236AE"/>
    <w:rsid w:val="00A2378C"/>
    <w:rsid w:val="00A238E8"/>
    <w:rsid w:val="00A25365"/>
    <w:rsid w:val="00A2562B"/>
    <w:rsid w:val="00A25AFE"/>
    <w:rsid w:val="00A25F46"/>
    <w:rsid w:val="00A26F7B"/>
    <w:rsid w:val="00A2769E"/>
    <w:rsid w:val="00A30683"/>
    <w:rsid w:val="00A30D03"/>
    <w:rsid w:val="00A31296"/>
    <w:rsid w:val="00A31FF7"/>
    <w:rsid w:val="00A324B1"/>
    <w:rsid w:val="00A32956"/>
    <w:rsid w:val="00A32BE6"/>
    <w:rsid w:val="00A32CF4"/>
    <w:rsid w:val="00A34197"/>
    <w:rsid w:val="00A34225"/>
    <w:rsid w:val="00A3475E"/>
    <w:rsid w:val="00A3518E"/>
    <w:rsid w:val="00A35639"/>
    <w:rsid w:val="00A3692C"/>
    <w:rsid w:val="00A36EFC"/>
    <w:rsid w:val="00A416E5"/>
    <w:rsid w:val="00A4188C"/>
    <w:rsid w:val="00A41EA9"/>
    <w:rsid w:val="00A421DB"/>
    <w:rsid w:val="00A42273"/>
    <w:rsid w:val="00A456D4"/>
    <w:rsid w:val="00A45A9C"/>
    <w:rsid w:val="00A46E3F"/>
    <w:rsid w:val="00A47D29"/>
    <w:rsid w:val="00A52F1F"/>
    <w:rsid w:val="00A531B8"/>
    <w:rsid w:val="00A53601"/>
    <w:rsid w:val="00A5416D"/>
    <w:rsid w:val="00A54270"/>
    <w:rsid w:val="00A54D58"/>
    <w:rsid w:val="00A558E9"/>
    <w:rsid w:val="00A61429"/>
    <w:rsid w:val="00A61485"/>
    <w:rsid w:val="00A622CA"/>
    <w:rsid w:val="00A62935"/>
    <w:rsid w:val="00A63521"/>
    <w:rsid w:val="00A63A11"/>
    <w:rsid w:val="00A64708"/>
    <w:rsid w:val="00A64789"/>
    <w:rsid w:val="00A64AA8"/>
    <w:rsid w:val="00A65B7A"/>
    <w:rsid w:val="00A66318"/>
    <w:rsid w:val="00A67BBE"/>
    <w:rsid w:val="00A7125B"/>
    <w:rsid w:val="00A73A77"/>
    <w:rsid w:val="00A75774"/>
    <w:rsid w:val="00A7579C"/>
    <w:rsid w:val="00A75A08"/>
    <w:rsid w:val="00A76D6A"/>
    <w:rsid w:val="00A77827"/>
    <w:rsid w:val="00A80385"/>
    <w:rsid w:val="00A8264F"/>
    <w:rsid w:val="00A828BF"/>
    <w:rsid w:val="00A82E81"/>
    <w:rsid w:val="00A83B18"/>
    <w:rsid w:val="00A83CB2"/>
    <w:rsid w:val="00A84145"/>
    <w:rsid w:val="00A84815"/>
    <w:rsid w:val="00A84B31"/>
    <w:rsid w:val="00A84C52"/>
    <w:rsid w:val="00A84D70"/>
    <w:rsid w:val="00A84E5B"/>
    <w:rsid w:val="00A85275"/>
    <w:rsid w:val="00A855FD"/>
    <w:rsid w:val="00A86206"/>
    <w:rsid w:val="00A86EEF"/>
    <w:rsid w:val="00A873B1"/>
    <w:rsid w:val="00A87EBF"/>
    <w:rsid w:val="00A910AC"/>
    <w:rsid w:val="00A9197B"/>
    <w:rsid w:val="00A92443"/>
    <w:rsid w:val="00A92A7D"/>
    <w:rsid w:val="00A930CD"/>
    <w:rsid w:val="00A94E2C"/>
    <w:rsid w:val="00A94F08"/>
    <w:rsid w:val="00A95EA9"/>
    <w:rsid w:val="00A96920"/>
    <w:rsid w:val="00A96A28"/>
    <w:rsid w:val="00A972B9"/>
    <w:rsid w:val="00A97584"/>
    <w:rsid w:val="00A97B33"/>
    <w:rsid w:val="00AA0719"/>
    <w:rsid w:val="00AA1D08"/>
    <w:rsid w:val="00AA1D8D"/>
    <w:rsid w:val="00AA20FD"/>
    <w:rsid w:val="00AA27FF"/>
    <w:rsid w:val="00AA2EDE"/>
    <w:rsid w:val="00AA4729"/>
    <w:rsid w:val="00AA4D44"/>
    <w:rsid w:val="00AA4F49"/>
    <w:rsid w:val="00AA74AF"/>
    <w:rsid w:val="00AA7513"/>
    <w:rsid w:val="00AA7753"/>
    <w:rsid w:val="00AA7D85"/>
    <w:rsid w:val="00AB1AB1"/>
    <w:rsid w:val="00AB1CFB"/>
    <w:rsid w:val="00AB2CF4"/>
    <w:rsid w:val="00AB37B6"/>
    <w:rsid w:val="00AB521F"/>
    <w:rsid w:val="00AB6A3A"/>
    <w:rsid w:val="00AB7A10"/>
    <w:rsid w:val="00AC020B"/>
    <w:rsid w:val="00AC1751"/>
    <w:rsid w:val="00AC190A"/>
    <w:rsid w:val="00AC1AAA"/>
    <w:rsid w:val="00AC3417"/>
    <w:rsid w:val="00AC5836"/>
    <w:rsid w:val="00AC7317"/>
    <w:rsid w:val="00AC774C"/>
    <w:rsid w:val="00AD077D"/>
    <w:rsid w:val="00AD2879"/>
    <w:rsid w:val="00AD4B65"/>
    <w:rsid w:val="00AD4BA8"/>
    <w:rsid w:val="00AD4D32"/>
    <w:rsid w:val="00AD55CB"/>
    <w:rsid w:val="00AD5A73"/>
    <w:rsid w:val="00AD5DAD"/>
    <w:rsid w:val="00AD6380"/>
    <w:rsid w:val="00AD64D2"/>
    <w:rsid w:val="00AD6A1F"/>
    <w:rsid w:val="00AD6A6D"/>
    <w:rsid w:val="00AD6F92"/>
    <w:rsid w:val="00AD7BF1"/>
    <w:rsid w:val="00AE063F"/>
    <w:rsid w:val="00AE081D"/>
    <w:rsid w:val="00AE23F8"/>
    <w:rsid w:val="00AE2A09"/>
    <w:rsid w:val="00AE38CD"/>
    <w:rsid w:val="00AE3CCF"/>
    <w:rsid w:val="00AE432E"/>
    <w:rsid w:val="00AE47B8"/>
    <w:rsid w:val="00AE4D04"/>
    <w:rsid w:val="00AE5266"/>
    <w:rsid w:val="00AE53D6"/>
    <w:rsid w:val="00AE6801"/>
    <w:rsid w:val="00AE6F2A"/>
    <w:rsid w:val="00AE7BF7"/>
    <w:rsid w:val="00AE7CBB"/>
    <w:rsid w:val="00AE7DBA"/>
    <w:rsid w:val="00AF303D"/>
    <w:rsid w:val="00AF39CC"/>
    <w:rsid w:val="00AF3A49"/>
    <w:rsid w:val="00AF3D69"/>
    <w:rsid w:val="00AF3FB3"/>
    <w:rsid w:val="00AF4013"/>
    <w:rsid w:val="00AF4749"/>
    <w:rsid w:val="00AF4808"/>
    <w:rsid w:val="00AF4A35"/>
    <w:rsid w:val="00AF4FAF"/>
    <w:rsid w:val="00AF52C9"/>
    <w:rsid w:val="00AF53AE"/>
    <w:rsid w:val="00AF5576"/>
    <w:rsid w:val="00AF5777"/>
    <w:rsid w:val="00AF5787"/>
    <w:rsid w:val="00AF5916"/>
    <w:rsid w:val="00B02A51"/>
    <w:rsid w:val="00B02A63"/>
    <w:rsid w:val="00B03CBC"/>
    <w:rsid w:val="00B04403"/>
    <w:rsid w:val="00B04ADE"/>
    <w:rsid w:val="00B04F71"/>
    <w:rsid w:val="00B056E3"/>
    <w:rsid w:val="00B05905"/>
    <w:rsid w:val="00B06DC2"/>
    <w:rsid w:val="00B07916"/>
    <w:rsid w:val="00B07D79"/>
    <w:rsid w:val="00B10873"/>
    <w:rsid w:val="00B11218"/>
    <w:rsid w:val="00B11A80"/>
    <w:rsid w:val="00B12119"/>
    <w:rsid w:val="00B13E76"/>
    <w:rsid w:val="00B14865"/>
    <w:rsid w:val="00B15EEF"/>
    <w:rsid w:val="00B166A1"/>
    <w:rsid w:val="00B167DC"/>
    <w:rsid w:val="00B1695F"/>
    <w:rsid w:val="00B1720F"/>
    <w:rsid w:val="00B2048B"/>
    <w:rsid w:val="00B21657"/>
    <w:rsid w:val="00B218CA"/>
    <w:rsid w:val="00B23819"/>
    <w:rsid w:val="00B239E8"/>
    <w:rsid w:val="00B23D99"/>
    <w:rsid w:val="00B24035"/>
    <w:rsid w:val="00B243CE"/>
    <w:rsid w:val="00B24A42"/>
    <w:rsid w:val="00B257CC"/>
    <w:rsid w:val="00B260EC"/>
    <w:rsid w:val="00B2745C"/>
    <w:rsid w:val="00B3263B"/>
    <w:rsid w:val="00B33215"/>
    <w:rsid w:val="00B34623"/>
    <w:rsid w:val="00B37B2C"/>
    <w:rsid w:val="00B37CD2"/>
    <w:rsid w:val="00B4055C"/>
    <w:rsid w:val="00B406A2"/>
    <w:rsid w:val="00B41A1B"/>
    <w:rsid w:val="00B42217"/>
    <w:rsid w:val="00B43153"/>
    <w:rsid w:val="00B43197"/>
    <w:rsid w:val="00B44A24"/>
    <w:rsid w:val="00B44EE2"/>
    <w:rsid w:val="00B45AFB"/>
    <w:rsid w:val="00B46072"/>
    <w:rsid w:val="00B46191"/>
    <w:rsid w:val="00B46492"/>
    <w:rsid w:val="00B46777"/>
    <w:rsid w:val="00B46ED7"/>
    <w:rsid w:val="00B471F2"/>
    <w:rsid w:val="00B47730"/>
    <w:rsid w:val="00B501E9"/>
    <w:rsid w:val="00B51327"/>
    <w:rsid w:val="00B514B5"/>
    <w:rsid w:val="00B51B08"/>
    <w:rsid w:val="00B52318"/>
    <w:rsid w:val="00B52B6C"/>
    <w:rsid w:val="00B52BF6"/>
    <w:rsid w:val="00B53CF5"/>
    <w:rsid w:val="00B54961"/>
    <w:rsid w:val="00B55440"/>
    <w:rsid w:val="00B559F9"/>
    <w:rsid w:val="00B56023"/>
    <w:rsid w:val="00B57615"/>
    <w:rsid w:val="00B57897"/>
    <w:rsid w:val="00B57FB1"/>
    <w:rsid w:val="00B607D2"/>
    <w:rsid w:val="00B60AB3"/>
    <w:rsid w:val="00B60E6A"/>
    <w:rsid w:val="00B614F8"/>
    <w:rsid w:val="00B6217B"/>
    <w:rsid w:val="00B621EA"/>
    <w:rsid w:val="00B62C41"/>
    <w:rsid w:val="00B6321D"/>
    <w:rsid w:val="00B64656"/>
    <w:rsid w:val="00B64AAD"/>
    <w:rsid w:val="00B64D10"/>
    <w:rsid w:val="00B653ED"/>
    <w:rsid w:val="00B671FD"/>
    <w:rsid w:val="00B6735B"/>
    <w:rsid w:val="00B67DEA"/>
    <w:rsid w:val="00B70916"/>
    <w:rsid w:val="00B70F75"/>
    <w:rsid w:val="00B71423"/>
    <w:rsid w:val="00B718D1"/>
    <w:rsid w:val="00B71C18"/>
    <w:rsid w:val="00B7211A"/>
    <w:rsid w:val="00B72202"/>
    <w:rsid w:val="00B737BE"/>
    <w:rsid w:val="00B73802"/>
    <w:rsid w:val="00B73BA2"/>
    <w:rsid w:val="00B73E19"/>
    <w:rsid w:val="00B73E6D"/>
    <w:rsid w:val="00B73E7B"/>
    <w:rsid w:val="00B742D4"/>
    <w:rsid w:val="00B74480"/>
    <w:rsid w:val="00B754A3"/>
    <w:rsid w:val="00B75EFA"/>
    <w:rsid w:val="00B7620F"/>
    <w:rsid w:val="00B766D7"/>
    <w:rsid w:val="00B81B13"/>
    <w:rsid w:val="00B81BBE"/>
    <w:rsid w:val="00B8249C"/>
    <w:rsid w:val="00B8315B"/>
    <w:rsid w:val="00B83874"/>
    <w:rsid w:val="00B85A31"/>
    <w:rsid w:val="00B85D27"/>
    <w:rsid w:val="00B85E3D"/>
    <w:rsid w:val="00B9073F"/>
    <w:rsid w:val="00B90927"/>
    <w:rsid w:val="00B90B88"/>
    <w:rsid w:val="00B91ADB"/>
    <w:rsid w:val="00B92325"/>
    <w:rsid w:val="00B926E6"/>
    <w:rsid w:val="00B92C40"/>
    <w:rsid w:val="00B92CA1"/>
    <w:rsid w:val="00B9346B"/>
    <w:rsid w:val="00B93C8F"/>
    <w:rsid w:val="00B93D93"/>
    <w:rsid w:val="00B9436F"/>
    <w:rsid w:val="00B94B5C"/>
    <w:rsid w:val="00B94F02"/>
    <w:rsid w:val="00B95963"/>
    <w:rsid w:val="00B95BAD"/>
    <w:rsid w:val="00B95BFD"/>
    <w:rsid w:val="00B95D5E"/>
    <w:rsid w:val="00B960BD"/>
    <w:rsid w:val="00BA03F0"/>
    <w:rsid w:val="00BA1198"/>
    <w:rsid w:val="00BA1283"/>
    <w:rsid w:val="00BA1B6C"/>
    <w:rsid w:val="00BA1C52"/>
    <w:rsid w:val="00BA226D"/>
    <w:rsid w:val="00BA25D4"/>
    <w:rsid w:val="00BA32DF"/>
    <w:rsid w:val="00BA338B"/>
    <w:rsid w:val="00BA3AF5"/>
    <w:rsid w:val="00BA3B50"/>
    <w:rsid w:val="00BA3C1B"/>
    <w:rsid w:val="00BA404F"/>
    <w:rsid w:val="00BA461D"/>
    <w:rsid w:val="00BA46A0"/>
    <w:rsid w:val="00BA4E5B"/>
    <w:rsid w:val="00BA60D7"/>
    <w:rsid w:val="00BA6786"/>
    <w:rsid w:val="00BA784C"/>
    <w:rsid w:val="00BB0BFB"/>
    <w:rsid w:val="00BB1183"/>
    <w:rsid w:val="00BB1591"/>
    <w:rsid w:val="00BB2026"/>
    <w:rsid w:val="00BB28FF"/>
    <w:rsid w:val="00BB2AED"/>
    <w:rsid w:val="00BB2EFF"/>
    <w:rsid w:val="00BB60BA"/>
    <w:rsid w:val="00BB659F"/>
    <w:rsid w:val="00BB73A0"/>
    <w:rsid w:val="00BC01DA"/>
    <w:rsid w:val="00BC1757"/>
    <w:rsid w:val="00BC1832"/>
    <w:rsid w:val="00BC1D1E"/>
    <w:rsid w:val="00BC2D9E"/>
    <w:rsid w:val="00BC46D5"/>
    <w:rsid w:val="00BC4CC5"/>
    <w:rsid w:val="00BC500B"/>
    <w:rsid w:val="00BC5615"/>
    <w:rsid w:val="00BC5868"/>
    <w:rsid w:val="00BC587B"/>
    <w:rsid w:val="00BC6282"/>
    <w:rsid w:val="00BC6ACE"/>
    <w:rsid w:val="00BC7147"/>
    <w:rsid w:val="00BC793D"/>
    <w:rsid w:val="00BD169F"/>
    <w:rsid w:val="00BD1FCD"/>
    <w:rsid w:val="00BD25C0"/>
    <w:rsid w:val="00BD2CC4"/>
    <w:rsid w:val="00BD312B"/>
    <w:rsid w:val="00BD3EB7"/>
    <w:rsid w:val="00BD4EC8"/>
    <w:rsid w:val="00BD4F04"/>
    <w:rsid w:val="00BD577F"/>
    <w:rsid w:val="00BD617A"/>
    <w:rsid w:val="00BD61A3"/>
    <w:rsid w:val="00BD6D4B"/>
    <w:rsid w:val="00BD6E4E"/>
    <w:rsid w:val="00BD734C"/>
    <w:rsid w:val="00BD7B26"/>
    <w:rsid w:val="00BE05F1"/>
    <w:rsid w:val="00BE08F6"/>
    <w:rsid w:val="00BE0A7F"/>
    <w:rsid w:val="00BE1773"/>
    <w:rsid w:val="00BE1A6C"/>
    <w:rsid w:val="00BE1BDD"/>
    <w:rsid w:val="00BE3190"/>
    <w:rsid w:val="00BE347A"/>
    <w:rsid w:val="00BE3AE5"/>
    <w:rsid w:val="00BE3BBD"/>
    <w:rsid w:val="00BE40FD"/>
    <w:rsid w:val="00BE42BB"/>
    <w:rsid w:val="00BE4CFC"/>
    <w:rsid w:val="00BE5824"/>
    <w:rsid w:val="00BE5FFF"/>
    <w:rsid w:val="00BE6256"/>
    <w:rsid w:val="00BE6B2A"/>
    <w:rsid w:val="00BE7444"/>
    <w:rsid w:val="00BE7C1E"/>
    <w:rsid w:val="00BF0292"/>
    <w:rsid w:val="00BF02DA"/>
    <w:rsid w:val="00BF03DC"/>
    <w:rsid w:val="00BF17D3"/>
    <w:rsid w:val="00BF230E"/>
    <w:rsid w:val="00BF282A"/>
    <w:rsid w:val="00BF2A73"/>
    <w:rsid w:val="00BF3024"/>
    <w:rsid w:val="00BF30C4"/>
    <w:rsid w:val="00BF3331"/>
    <w:rsid w:val="00BF35A1"/>
    <w:rsid w:val="00BF35E6"/>
    <w:rsid w:val="00BF3605"/>
    <w:rsid w:val="00BF3D96"/>
    <w:rsid w:val="00BF3DA5"/>
    <w:rsid w:val="00BF4A7A"/>
    <w:rsid w:val="00BF4B36"/>
    <w:rsid w:val="00BF53ED"/>
    <w:rsid w:val="00BF5870"/>
    <w:rsid w:val="00BF65BF"/>
    <w:rsid w:val="00BF77C8"/>
    <w:rsid w:val="00C015FC"/>
    <w:rsid w:val="00C01674"/>
    <w:rsid w:val="00C02966"/>
    <w:rsid w:val="00C0377D"/>
    <w:rsid w:val="00C049E4"/>
    <w:rsid w:val="00C05482"/>
    <w:rsid w:val="00C05FA5"/>
    <w:rsid w:val="00C06138"/>
    <w:rsid w:val="00C073C1"/>
    <w:rsid w:val="00C1102D"/>
    <w:rsid w:val="00C114AE"/>
    <w:rsid w:val="00C118CD"/>
    <w:rsid w:val="00C11981"/>
    <w:rsid w:val="00C11D01"/>
    <w:rsid w:val="00C11EA5"/>
    <w:rsid w:val="00C1218D"/>
    <w:rsid w:val="00C12230"/>
    <w:rsid w:val="00C13DE1"/>
    <w:rsid w:val="00C14322"/>
    <w:rsid w:val="00C145DE"/>
    <w:rsid w:val="00C161C1"/>
    <w:rsid w:val="00C16210"/>
    <w:rsid w:val="00C16727"/>
    <w:rsid w:val="00C2092D"/>
    <w:rsid w:val="00C20D69"/>
    <w:rsid w:val="00C211F2"/>
    <w:rsid w:val="00C2239E"/>
    <w:rsid w:val="00C23807"/>
    <w:rsid w:val="00C2399D"/>
    <w:rsid w:val="00C23BDB"/>
    <w:rsid w:val="00C24FFB"/>
    <w:rsid w:val="00C251B7"/>
    <w:rsid w:val="00C26478"/>
    <w:rsid w:val="00C27F4F"/>
    <w:rsid w:val="00C313F1"/>
    <w:rsid w:val="00C32306"/>
    <w:rsid w:val="00C33C45"/>
    <w:rsid w:val="00C340D9"/>
    <w:rsid w:val="00C35AD2"/>
    <w:rsid w:val="00C366AC"/>
    <w:rsid w:val="00C36784"/>
    <w:rsid w:val="00C368F7"/>
    <w:rsid w:val="00C40A43"/>
    <w:rsid w:val="00C4103E"/>
    <w:rsid w:val="00C4238B"/>
    <w:rsid w:val="00C433D7"/>
    <w:rsid w:val="00C43A0F"/>
    <w:rsid w:val="00C442DA"/>
    <w:rsid w:val="00C44800"/>
    <w:rsid w:val="00C44B9D"/>
    <w:rsid w:val="00C44E05"/>
    <w:rsid w:val="00C4537F"/>
    <w:rsid w:val="00C45E31"/>
    <w:rsid w:val="00C47BD7"/>
    <w:rsid w:val="00C509EE"/>
    <w:rsid w:val="00C51914"/>
    <w:rsid w:val="00C51934"/>
    <w:rsid w:val="00C51CAF"/>
    <w:rsid w:val="00C5257A"/>
    <w:rsid w:val="00C5340F"/>
    <w:rsid w:val="00C53A9A"/>
    <w:rsid w:val="00C53B02"/>
    <w:rsid w:val="00C5550A"/>
    <w:rsid w:val="00C555C8"/>
    <w:rsid w:val="00C56158"/>
    <w:rsid w:val="00C566E0"/>
    <w:rsid w:val="00C56B8F"/>
    <w:rsid w:val="00C56D50"/>
    <w:rsid w:val="00C57FB4"/>
    <w:rsid w:val="00C61A93"/>
    <w:rsid w:val="00C624CA"/>
    <w:rsid w:val="00C6338D"/>
    <w:rsid w:val="00C635B5"/>
    <w:rsid w:val="00C64B8C"/>
    <w:rsid w:val="00C64B90"/>
    <w:rsid w:val="00C65FC4"/>
    <w:rsid w:val="00C660F7"/>
    <w:rsid w:val="00C66648"/>
    <w:rsid w:val="00C667B3"/>
    <w:rsid w:val="00C674D6"/>
    <w:rsid w:val="00C67590"/>
    <w:rsid w:val="00C678C8"/>
    <w:rsid w:val="00C67F2A"/>
    <w:rsid w:val="00C71278"/>
    <w:rsid w:val="00C72EB7"/>
    <w:rsid w:val="00C730E5"/>
    <w:rsid w:val="00C736AA"/>
    <w:rsid w:val="00C758F5"/>
    <w:rsid w:val="00C759A9"/>
    <w:rsid w:val="00C75B61"/>
    <w:rsid w:val="00C76587"/>
    <w:rsid w:val="00C76696"/>
    <w:rsid w:val="00C76ED8"/>
    <w:rsid w:val="00C77AF6"/>
    <w:rsid w:val="00C80B57"/>
    <w:rsid w:val="00C814D8"/>
    <w:rsid w:val="00C81524"/>
    <w:rsid w:val="00C822E3"/>
    <w:rsid w:val="00C82A12"/>
    <w:rsid w:val="00C83E6D"/>
    <w:rsid w:val="00C848A9"/>
    <w:rsid w:val="00C852AF"/>
    <w:rsid w:val="00C85D86"/>
    <w:rsid w:val="00C85FEC"/>
    <w:rsid w:val="00C86C0C"/>
    <w:rsid w:val="00C87FF3"/>
    <w:rsid w:val="00C90113"/>
    <w:rsid w:val="00C90604"/>
    <w:rsid w:val="00C90A6D"/>
    <w:rsid w:val="00C91BAE"/>
    <w:rsid w:val="00C91BFF"/>
    <w:rsid w:val="00C91D2C"/>
    <w:rsid w:val="00C91D3D"/>
    <w:rsid w:val="00C92386"/>
    <w:rsid w:val="00C93D25"/>
    <w:rsid w:val="00C946AD"/>
    <w:rsid w:val="00C94A30"/>
    <w:rsid w:val="00C94B48"/>
    <w:rsid w:val="00C94EDA"/>
    <w:rsid w:val="00C96078"/>
    <w:rsid w:val="00C96C58"/>
    <w:rsid w:val="00C978BC"/>
    <w:rsid w:val="00C97D27"/>
    <w:rsid w:val="00CA1F94"/>
    <w:rsid w:val="00CA77B9"/>
    <w:rsid w:val="00CB0664"/>
    <w:rsid w:val="00CB07C9"/>
    <w:rsid w:val="00CB0963"/>
    <w:rsid w:val="00CB23E1"/>
    <w:rsid w:val="00CB2B82"/>
    <w:rsid w:val="00CB2BC2"/>
    <w:rsid w:val="00CB304B"/>
    <w:rsid w:val="00CB333A"/>
    <w:rsid w:val="00CB3DE1"/>
    <w:rsid w:val="00CB4E99"/>
    <w:rsid w:val="00CB5742"/>
    <w:rsid w:val="00CB5C46"/>
    <w:rsid w:val="00CB5F56"/>
    <w:rsid w:val="00CB5FE8"/>
    <w:rsid w:val="00CB7EF2"/>
    <w:rsid w:val="00CC02FE"/>
    <w:rsid w:val="00CC03DB"/>
    <w:rsid w:val="00CC1769"/>
    <w:rsid w:val="00CC187B"/>
    <w:rsid w:val="00CC19C4"/>
    <w:rsid w:val="00CC1E2C"/>
    <w:rsid w:val="00CC3038"/>
    <w:rsid w:val="00CC311B"/>
    <w:rsid w:val="00CC42A2"/>
    <w:rsid w:val="00CC46E0"/>
    <w:rsid w:val="00CC623C"/>
    <w:rsid w:val="00CD109E"/>
    <w:rsid w:val="00CD14AC"/>
    <w:rsid w:val="00CD243D"/>
    <w:rsid w:val="00CD2716"/>
    <w:rsid w:val="00CD38B6"/>
    <w:rsid w:val="00CD40A9"/>
    <w:rsid w:val="00CD4D21"/>
    <w:rsid w:val="00CD5F73"/>
    <w:rsid w:val="00CD6913"/>
    <w:rsid w:val="00CD6DFC"/>
    <w:rsid w:val="00CE0BE8"/>
    <w:rsid w:val="00CE1B8E"/>
    <w:rsid w:val="00CE2661"/>
    <w:rsid w:val="00CE32BC"/>
    <w:rsid w:val="00CE53BC"/>
    <w:rsid w:val="00CE559E"/>
    <w:rsid w:val="00CE6EC0"/>
    <w:rsid w:val="00CE7822"/>
    <w:rsid w:val="00CE7D1C"/>
    <w:rsid w:val="00CF1CC1"/>
    <w:rsid w:val="00CF2738"/>
    <w:rsid w:val="00CF2AB9"/>
    <w:rsid w:val="00CF4371"/>
    <w:rsid w:val="00CF43D4"/>
    <w:rsid w:val="00CF5849"/>
    <w:rsid w:val="00CF6317"/>
    <w:rsid w:val="00CF6326"/>
    <w:rsid w:val="00CF6D07"/>
    <w:rsid w:val="00CF72BA"/>
    <w:rsid w:val="00D00794"/>
    <w:rsid w:val="00D011DA"/>
    <w:rsid w:val="00D01F6F"/>
    <w:rsid w:val="00D02B00"/>
    <w:rsid w:val="00D02D97"/>
    <w:rsid w:val="00D0331C"/>
    <w:rsid w:val="00D036EF"/>
    <w:rsid w:val="00D04081"/>
    <w:rsid w:val="00D043C9"/>
    <w:rsid w:val="00D074AD"/>
    <w:rsid w:val="00D07604"/>
    <w:rsid w:val="00D10642"/>
    <w:rsid w:val="00D10727"/>
    <w:rsid w:val="00D107A0"/>
    <w:rsid w:val="00D1309E"/>
    <w:rsid w:val="00D133E4"/>
    <w:rsid w:val="00D13A5A"/>
    <w:rsid w:val="00D13F3D"/>
    <w:rsid w:val="00D143F0"/>
    <w:rsid w:val="00D15836"/>
    <w:rsid w:val="00D15D02"/>
    <w:rsid w:val="00D16524"/>
    <w:rsid w:val="00D1740E"/>
    <w:rsid w:val="00D2035A"/>
    <w:rsid w:val="00D20896"/>
    <w:rsid w:val="00D214C3"/>
    <w:rsid w:val="00D2288A"/>
    <w:rsid w:val="00D22DE5"/>
    <w:rsid w:val="00D23BAA"/>
    <w:rsid w:val="00D23CAA"/>
    <w:rsid w:val="00D24C8E"/>
    <w:rsid w:val="00D279FF"/>
    <w:rsid w:val="00D30BEB"/>
    <w:rsid w:val="00D30DA9"/>
    <w:rsid w:val="00D30FEE"/>
    <w:rsid w:val="00D3153E"/>
    <w:rsid w:val="00D32375"/>
    <w:rsid w:val="00D328AB"/>
    <w:rsid w:val="00D34117"/>
    <w:rsid w:val="00D3414A"/>
    <w:rsid w:val="00D367AB"/>
    <w:rsid w:val="00D36F29"/>
    <w:rsid w:val="00D37073"/>
    <w:rsid w:val="00D3712C"/>
    <w:rsid w:val="00D37A39"/>
    <w:rsid w:val="00D40004"/>
    <w:rsid w:val="00D408B5"/>
    <w:rsid w:val="00D42526"/>
    <w:rsid w:val="00D42828"/>
    <w:rsid w:val="00D435E3"/>
    <w:rsid w:val="00D44E15"/>
    <w:rsid w:val="00D452D6"/>
    <w:rsid w:val="00D45397"/>
    <w:rsid w:val="00D4546B"/>
    <w:rsid w:val="00D458EE"/>
    <w:rsid w:val="00D476A4"/>
    <w:rsid w:val="00D501DE"/>
    <w:rsid w:val="00D51A69"/>
    <w:rsid w:val="00D51B4A"/>
    <w:rsid w:val="00D51C07"/>
    <w:rsid w:val="00D51DB4"/>
    <w:rsid w:val="00D5202B"/>
    <w:rsid w:val="00D53691"/>
    <w:rsid w:val="00D53F6B"/>
    <w:rsid w:val="00D55A42"/>
    <w:rsid w:val="00D55A9F"/>
    <w:rsid w:val="00D55D99"/>
    <w:rsid w:val="00D60013"/>
    <w:rsid w:val="00D6146B"/>
    <w:rsid w:val="00D62237"/>
    <w:rsid w:val="00D6334F"/>
    <w:rsid w:val="00D6389E"/>
    <w:rsid w:val="00D6440A"/>
    <w:rsid w:val="00D66948"/>
    <w:rsid w:val="00D70616"/>
    <w:rsid w:val="00D722D3"/>
    <w:rsid w:val="00D72F4E"/>
    <w:rsid w:val="00D73502"/>
    <w:rsid w:val="00D73A83"/>
    <w:rsid w:val="00D746E6"/>
    <w:rsid w:val="00D75876"/>
    <w:rsid w:val="00D765FD"/>
    <w:rsid w:val="00D76920"/>
    <w:rsid w:val="00D778A1"/>
    <w:rsid w:val="00D77972"/>
    <w:rsid w:val="00D802C9"/>
    <w:rsid w:val="00D8173B"/>
    <w:rsid w:val="00D818CB"/>
    <w:rsid w:val="00D82899"/>
    <w:rsid w:val="00D834CA"/>
    <w:rsid w:val="00D859EF"/>
    <w:rsid w:val="00D85C34"/>
    <w:rsid w:val="00D87133"/>
    <w:rsid w:val="00D90C94"/>
    <w:rsid w:val="00D91AC6"/>
    <w:rsid w:val="00D930C2"/>
    <w:rsid w:val="00D94786"/>
    <w:rsid w:val="00D955CE"/>
    <w:rsid w:val="00D959D4"/>
    <w:rsid w:val="00D97B57"/>
    <w:rsid w:val="00DA04A4"/>
    <w:rsid w:val="00DA075B"/>
    <w:rsid w:val="00DA1E68"/>
    <w:rsid w:val="00DA3397"/>
    <w:rsid w:val="00DA48F5"/>
    <w:rsid w:val="00DA4D0C"/>
    <w:rsid w:val="00DA54F0"/>
    <w:rsid w:val="00DA5F9C"/>
    <w:rsid w:val="00DA6700"/>
    <w:rsid w:val="00DA69D6"/>
    <w:rsid w:val="00DA7183"/>
    <w:rsid w:val="00DA7356"/>
    <w:rsid w:val="00DA7968"/>
    <w:rsid w:val="00DB0423"/>
    <w:rsid w:val="00DB16E1"/>
    <w:rsid w:val="00DB1B0C"/>
    <w:rsid w:val="00DB1FE7"/>
    <w:rsid w:val="00DB260D"/>
    <w:rsid w:val="00DB3E37"/>
    <w:rsid w:val="00DB4C1C"/>
    <w:rsid w:val="00DB4E14"/>
    <w:rsid w:val="00DB54F6"/>
    <w:rsid w:val="00DB5814"/>
    <w:rsid w:val="00DB5FC6"/>
    <w:rsid w:val="00DB6295"/>
    <w:rsid w:val="00DB7426"/>
    <w:rsid w:val="00DB7592"/>
    <w:rsid w:val="00DB7AAA"/>
    <w:rsid w:val="00DC2402"/>
    <w:rsid w:val="00DC25EE"/>
    <w:rsid w:val="00DC3CFC"/>
    <w:rsid w:val="00DC4060"/>
    <w:rsid w:val="00DC6D54"/>
    <w:rsid w:val="00DD07AB"/>
    <w:rsid w:val="00DD07C8"/>
    <w:rsid w:val="00DD134D"/>
    <w:rsid w:val="00DD2213"/>
    <w:rsid w:val="00DD296C"/>
    <w:rsid w:val="00DD2F51"/>
    <w:rsid w:val="00DD36A3"/>
    <w:rsid w:val="00DD4E65"/>
    <w:rsid w:val="00DD620D"/>
    <w:rsid w:val="00DD687C"/>
    <w:rsid w:val="00DD703C"/>
    <w:rsid w:val="00DD7827"/>
    <w:rsid w:val="00DD7B2E"/>
    <w:rsid w:val="00DD7B78"/>
    <w:rsid w:val="00DE004B"/>
    <w:rsid w:val="00DE0D13"/>
    <w:rsid w:val="00DE235E"/>
    <w:rsid w:val="00DE3C00"/>
    <w:rsid w:val="00DE3EB4"/>
    <w:rsid w:val="00DE72C7"/>
    <w:rsid w:val="00DE7552"/>
    <w:rsid w:val="00DE7AC6"/>
    <w:rsid w:val="00DF19A1"/>
    <w:rsid w:val="00DF2788"/>
    <w:rsid w:val="00DF2E43"/>
    <w:rsid w:val="00DF3CB8"/>
    <w:rsid w:val="00DF42B4"/>
    <w:rsid w:val="00DF5392"/>
    <w:rsid w:val="00DF5879"/>
    <w:rsid w:val="00DF5A74"/>
    <w:rsid w:val="00DF5F17"/>
    <w:rsid w:val="00DF6577"/>
    <w:rsid w:val="00DF67E9"/>
    <w:rsid w:val="00DF6F64"/>
    <w:rsid w:val="00DF7021"/>
    <w:rsid w:val="00DF7580"/>
    <w:rsid w:val="00DF7EE2"/>
    <w:rsid w:val="00E0142A"/>
    <w:rsid w:val="00E019DE"/>
    <w:rsid w:val="00E02311"/>
    <w:rsid w:val="00E03491"/>
    <w:rsid w:val="00E03684"/>
    <w:rsid w:val="00E04AE3"/>
    <w:rsid w:val="00E0769E"/>
    <w:rsid w:val="00E07C65"/>
    <w:rsid w:val="00E1096B"/>
    <w:rsid w:val="00E115E4"/>
    <w:rsid w:val="00E11B5A"/>
    <w:rsid w:val="00E12F88"/>
    <w:rsid w:val="00E13EFD"/>
    <w:rsid w:val="00E1443F"/>
    <w:rsid w:val="00E158F4"/>
    <w:rsid w:val="00E15AB0"/>
    <w:rsid w:val="00E15F0E"/>
    <w:rsid w:val="00E163F8"/>
    <w:rsid w:val="00E164CA"/>
    <w:rsid w:val="00E171ED"/>
    <w:rsid w:val="00E236CC"/>
    <w:rsid w:val="00E243A8"/>
    <w:rsid w:val="00E2516B"/>
    <w:rsid w:val="00E273D3"/>
    <w:rsid w:val="00E31D2B"/>
    <w:rsid w:val="00E323A8"/>
    <w:rsid w:val="00E32BB5"/>
    <w:rsid w:val="00E358B6"/>
    <w:rsid w:val="00E35BD0"/>
    <w:rsid w:val="00E35E59"/>
    <w:rsid w:val="00E36069"/>
    <w:rsid w:val="00E36A5C"/>
    <w:rsid w:val="00E370F9"/>
    <w:rsid w:val="00E371D4"/>
    <w:rsid w:val="00E37296"/>
    <w:rsid w:val="00E37BD2"/>
    <w:rsid w:val="00E408EE"/>
    <w:rsid w:val="00E40FAE"/>
    <w:rsid w:val="00E430EC"/>
    <w:rsid w:val="00E43274"/>
    <w:rsid w:val="00E434CC"/>
    <w:rsid w:val="00E43A88"/>
    <w:rsid w:val="00E43B7D"/>
    <w:rsid w:val="00E43F09"/>
    <w:rsid w:val="00E462CE"/>
    <w:rsid w:val="00E46A98"/>
    <w:rsid w:val="00E46E2F"/>
    <w:rsid w:val="00E4752D"/>
    <w:rsid w:val="00E51258"/>
    <w:rsid w:val="00E52978"/>
    <w:rsid w:val="00E52AEC"/>
    <w:rsid w:val="00E52EF2"/>
    <w:rsid w:val="00E543F3"/>
    <w:rsid w:val="00E54C52"/>
    <w:rsid w:val="00E550E1"/>
    <w:rsid w:val="00E552C0"/>
    <w:rsid w:val="00E557E0"/>
    <w:rsid w:val="00E55A37"/>
    <w:rsid w:val="00E55B26"/>
    <w:rsid w:val="00E55D50"/>
    <w:rsid w:val="00E5618F"/>
    <w:rsid w:val="00E56B80"/>
    <w:rsid w:val="00E5797A"/>
    <w:rsid w:val="00E57E03"/>
    <w:rsid w:val="00E6056A"/>
    <w:rsid w:val="00E606CD"/>
    <w:rsid w:val="00E609E1"/>
    <w:rsid w:val="00E6180A"/>
    <w:rsid w:val="00E61CE3"/>
    <w:rsid w:val="00E6271A"/>
    <w:rsid w:val="00E63AB5"/>
    <w:rsid w:val="00E63C82"/>
    <w:rsid w:val="00E64CE0"/>
    <w:rsid w:val="00E6525C"/>
    <w:rsid w:val="00E6623F"/>
    <w:rsid w:val="00E66AA2"/>
    <w:rsid w:val="00E675A4"/>
    <w:rsid w:val="00E70B61"/>
    <w:rsid w:val="00E7111F"/>
    <w:rsid w:val="00E7145B"/>
    <w:rsid w:val="00E723CD"/>
    <w:rsid w:val="00E72478"/>
    <w:rsid w:val="00E72AD2"/>
    <w:rsid w:val="00E73919"/>
    <w:rsid w:val="00E74145"/>
    <w:rsid w:val="00E744B9"/>
    <w:rsid w:val="00E75ABC"/>
    <w:rsid w:val="00E76E2A"/>
    <w:rsid w:val="00E7717A"/>
    <w:rsid w:val="00E778B7"/>
    <w:rsid w:val="00E80081"/>
    <w:rsid w:val="00E8140F"/>
    <w:rsid w:val="00E81D04"/>
    <w:rsid w:val="00E82331"/>
    <w:rsid w:val="00E82646"/>
    <w:rsid w:val="00E82868"/>
    <w:rsid w:val="00E82EFE"/>
    <w:rsid w:val="00E82F22"/>
    <w:rsid w:val="00E8314D"/>
    <w:rsid w:val="00E83FF3"/>
    <w:rsid w:val="00E84E9B"/>
    <w:rsid w:val="00E8597C"/>
    <w:rsid w:val="00E85F07"/>
    <w:rsid w:val="00E865A9"/>
    <w:rsid w:val="00E86A50"/>
    <w:rsid w:val="00E90B5C"/>
    <w:rsid w:val="00E90D62"/>
    <w:rsid w:val="00E910E3"/>
    <w:rsid w:val="00E91248"/>
    <w:rsid w:val="00E913CF"/>
    <w:rsid w:val="00E92B1D"/>
    <w:rsid w:val="00E9329F"/>
    <w:rsid w:val="00E94F15"/>
    <w:rsid w:val="00E961F7"/>
    <w:rsid w:val="00E96819"/>
    <w:rsid w:val="00E97854"/>
    <w:rsid w:val="00E978FC"/>
    <w:rsid w:val="00E979EE"/>
    <w:rsid w:val="00E97A55"/>
    <w:rsid w:val="00EA1275"/>
    <w:rsid w:val="00EA1B29"/>
    <w:rsid w:val="00EA214C"/>
    <w:rsid w:val="00EA4A21"/>
    <w:rsid w:val="00EA5190"/>
    <w:rsid w:val="00EA53B3"/>
    <w:rsid w:val="00EA5445"/>
    <w:rsid w:val="00EA7023"/>
    <w:rsid w:val="00EA7AE2"/>
    <w:rsid w:val="00EB07FB"/>
    <w:rsid w:val="00EB081B"/>
    <w:rsid w:val="00EB1B1F"/>
    <w:rsid w:val="00EB1C7C"/>
    <w:rsid w:val="00EB1E0F"/>
    <w:rsid w:val="00EB25FB"/>
    <w:rsid w:val="00EB2FA4"/>
    <w:rsid w:val="00EB364E"/>
    <w:rsid w:val="00EB3F85"/>
    <w:rsid w:val="00EB4874"/>
    <w:rsid w:val="00EB6450"/>
    <w:rsid w:val="00EB7461"/>
    <w:rsid w:val="00EC04F3"/>
    <w:rsid w:val="00EC0775"/>
    <w:rsid w:val="00EC0EAA"/>
    <w:rsid w:val="00EC10DF"/>
    <w:rsid w:val="00EC19CA"/>
    <w:rsid w:val="00EC223C"/>
    <w:rsid w:val="00EC35CD"/>
    <w:rsid w:val="00EC36CD"/>
    <w:rsid w:val="00EC464B"/>
    <w:rsid w:val="00EC49C2"/>
    <w:rsid w:val="00EC4E7F"/>
    <w:rsid w:val="00EC4EC8"/>
    <w:rsid w:val="00EC532C"/>
    <w:rsid w:val="00EC7D78"/>
    <w:rsid w:val="00ED05DB"/>
    <w:rsid w:val="00ED101C"/>
    <w:rsid w:val="00ED112E"/>
    <w:rsid w:val="00ED1F1E"/>
    <w:rsid w:val="00ED1F29"/>
    <w:rsid w:val="00ED2387"/>
    <w:rsid w:val="00ED25E3"/>
    <w:rsid w:val="00ED29E9"/>
    <w:rsid w:val="00ED2C40"/>
    <w:rsid w:val="00ED37E9"/>
    <w:rsid w:val="00ED3E03"/>
    <w:rsid w:val="00ED488E"/>
    <w:rsid w:val="00ED4B45"/>
    <w:rsid w:val="00ED50E3"/>
    <w:rsid w:val="00ED6792"/>
    <w:rsid w:val="00ED68E2"/>
    <w:rsid w:val="00ED6AC7"/>
    <w:rsid w:val="00ED6BF8"/>
    <w:rsid w:val="00ED6FED"/>
    <w:rsid w:val="00ED71A9"/>
    <w:rsid w:val="00ED7312"/>
    <w:rsid w:val="00EE04D4"/>
    <w:rsid w:val="00EE09DA"/>
    <w:rsid w:val="00EE0B0A"/>
    <w:rsid w:val="00EE2985"/>
    <w:rsid w:val="00EE3597"/>
    <w:rsid w:val="00EE36C8"/>
    <w:rsid w:val="00EE445E"/>
    <w:rsid w:val="00EE44A8"/>
    <w:rsid w:val="00EE4B3F"/>
    <w:rsid w:val="00EE4DF9"/>
    <w:rsid w:val="00EE51A8"/>
    <w:rsid w:val="00EF0683"/>
    <w:rsid w:val="00EF103A"/>
    <w:rsid w:val="00EF1122"/>
    <w:rsid w:val="00EF11B5"/>
    <w:rsid w:val="00EF17A7"/>
    <w:rsid w:val="00EF1BFB"/>
    <w:rsid w:val="00EF4DDC"/>
    <w:rsid w:val="00EF503D"/>
    <w:rsid w:val="00EF5C17"/>
    <w:rsid w:val="00EF5EC8"/>
    <w:rsid w:val="00EF617C"/>
    <w:rsid w:val="00EF7119"/>
    <w:rsid w:val="00F004CE"/>
    <w:rsid w:val="00F00C3D"/>
    <w:rsid w:val="00F00CA6"/>
    <w:rsid w:val="00F00D85"/>
    <w:rsid w:val="00F00D94"/>
    <w:rsid w:val="00F02147"/>
    <w:rsid w:val="00F02B0C"/>
    <w:rsid w:val="00F03867"/>
    <w:rsid w:val="00F04A19"/>
    <w:rsid w:val="00F04F7E"/>
    <w:rsid w:val="00F06213"/>
    <w:rsid w:val="00F072E1"/>
    <w:rsid w:val="00F07326"/>
    <w:rsid w:val="00F10EA0"/>
    <w:rsid w:val="00F11667"/>
    <w:rsid w:val="00F11E00"/>
    <w:rsid w:val="00F121A1"/>
    <w:rsid w:val="00F12396"/>
    <w:rsid w:val="00F12742"/>
    <w:rsid w:val="00F12B7C"/>
    <w:rsid w:val="00F12DD5"/>
    <w:rsid w:val="00F14D38"/>
    <w:rsid w:val="00F15CA0"/>
    <w:rsid w:val="00F16406"/>
    <w:rsid w:val="00F179C6"/>
    <w:rsid w:val="00F209A9"/>
    <w:rsid w:val="00F209FC"/>
    <w:rsid w:val="00F21058"/>
    <w:rsid w:val="00F2128C"/>
    <w:rsid w:val="00F21E6C"/>
    <w:rsid w:val="00F21F6B"/>
    <w:rsid w:val="00F2214A"/>
    <w:rsid w:val="00F22694"/>
    <w:rsid w:val="00F2316C"/>
    <w:rsid w:val="00F23870"/>
    <w:rsid w:val="00F23D7A"/>
    <w:rsid w:val="00F24093"/>
    <w:rsid w:val="00F2412C"/>
    <w:rsid w:val="00F24A54"/>
    <w:rsid w:val="00F25360"/>
    <w:rsid w:val="00F2798E"/>
    <w:rsid w:val="00F27FAD"/>
    <w:rsid w:val="00F30154"/>
    <w:rsid w:val="00F30199"/>
    <w:rsid w:val="00F301F7"/>
    <w:rsid w:val="00F3082D"/>
    <w:rsid w:val="00F327D1"/>
    <w:rsid w:val="00F33741"/>
    <w:rsid w:val="00F33745"/>
    <w:rsid w:val="00F339B6"/>
    <w:rsid w:val="00F34727"/>
    <w:rsid w:val="00F35B74"/>
    <w:rsid w:val="00F35C43"/>
    <w:rsid w:val="00F37C7A"/>
    <w:rsid w:val="00F37D9E"/>
    <w:rsid w:val="00F410C8"/>
    <w:rsid w:val="00F4236E"/>
    <w:rsid w:val="00F4285A"/>
    <w:rsid w:val="00F4291B"/>
    <w:rsid w:val="00F42F19"/>
    <w:rsid w:val="00F42FDA"/>
    <w:rsid w:val="00F43CFB"/>
    <w:rsid w:val="00F44174"/>
    <w:rsid w:val="00F449C2"/>
    <w:rsid w:val="00F44D44"/>
    <w:rsid w:val="00F45E07"/>
    <w:rsid w:val="00F46399"/>
    <w:rsid w:val="00F47226"/>
    <w:rsid w:val="00F47AD6"/>
    <w:rsid w:val="00F50700"/>
    <w:rsid w:val="00F526D6"/>
    <w:rsid w:val="00F52AEA"/>
    <w:rsid w:val="00F52BE2"/>
    <w:rsid w:val="00F532D7"/>
    <w:rsid w:val="00F53E77"/>
    <w:rsid w:val="00F53EFE"/>
    <w:rsid w:val="00F546FE"/>
    <w:rsid w:val="00F5490F"/>
    <w:rsid w:val="00F55257"/>
    <w:rsid w:val="00F56D88"/>
    <w:rsid w:val="00F60F9A"/>
    <w:rsid w:val="00F610F3"/>
    <w:rsid w:val="00F61BF3"/>
    <w:rsid w:val="00F62142"/>
    <w:rsid w:val="00F62E7B"/>
    <w:rsid w:val="00F64CE6"/>
    <w:rsid w:val="00F65434"/>
    <w:rsid w:val="00F66E4C"/>
    <w:rsid w:val="00F67419"/>
    <w:rsid w:val="00F67930"/>
    <w:rsid w:val="00F67E6F"/>
    <w:rsid w:val="00F70284"/>
    <w:rsid w:val="00F724E2"/>
    <w:rsid w:val="00F72BEB"/>
    <w:rsid w:val="00F72DBA"/>
    <w:rsid w:val="00F73B2E"/>
    <w:rsid w:val="00F73C5F"/>
    <w:rsid w:val="00F74890"/>
    <w:rsid w:val="00F74898"/>
    <w:rsid w:val="00F74FDF"/>
    <w:rsid w:val="00F76AB6"/>
    <w:rsid w:val="00F774AE"/>
    <w:rsid w:val="00F83645"/>
    <w:rsid w:val="00F856E4"/>
    <w:rsid w:val="00F85B9A"/>
    <w:rsid w:val="00F85D58"/>
    <w:rsid w:val="00F85DF7"/>
    <w:rsid w:val="00F86389"/>
    <w:rsid w:val="00F86808"/>
    <w:rsid w:val="00F86E8F"/>
    <w:rsid w:val="00F87BEE"/>
    <w:rsid w:val="00F90B1E"/>
    <w:rsid w:val="00F910E5"/>
    <w:rsid w:val="00F92082"/>
    <w:rsid w:val="00F927E6"/>
    <w:rsid w:val="00F9388A"/>
    <w:rsid w:val="00F95278"/>
    <w:rsid w:val="00F96042"/>
    <w:rsid w:val="00F96AE6"/>
    <w:rsid w:val="00FA0E27"/>
    <w:rsid w:val="00FA22CF"/>
    <w:rsid w:val="00FA35E7"/>
    <w:rsid w:val="00FA39E9"/>
    <w:rsid w:val="00FA4C37"/>
    <w:rsid w:val="00FA50A7"/>
    <w:rsid w:val="00FA5751"/>
    <w:rsid w:val="00FA72FE"/>
    <w:rsid w:val="00FA755B"/>
    <w:rsid w:val="00FA7E80"/>
    <w:rsid w:val="00FB1056"/>
    <w:rsid w:val="00FB2290"/>
    <w:rsid w:val="00FB27B0"/>
    <w:rsid w:val="00FB2851"/>
    <w:rsid w:val="00FB2AC4"/>
    <w:rsid w:val="00FB302D"/>
    <w:rsid w:val="00FB32D0"/>
    <w:rsid w:val="00FB3564"/>
    <w:rsid w:val="00FB36D1"/>
    <w:rsid w:val="00FB3D7B"/>
    <w:rsid w:val="00FB425C"/>
    <w:rsid w:val="00FB513B"/>
    <w:rsid w:val="00FB51D3"/>
    <w:rsid w:val="00FB5B4D"/>
    <w:rsid w:val="00FB5F65"/>
    <w:rsid w:val="00FB634B"/>
    <w:rsid w:val="00FB681A"/>
    <w:rsid w:val="00FB6DEF"/>
    <w:rsid w:val="00FB6F5D"/>
    <w:rsid w:val="00FB7EAB"/>
    <w:rsid w:val="00FB7FAA"/>
    <w:rsid w:val="00FC0F3E"/>
    <w:rsid w:val="00FC1BF4"/>
    <w:rsid w:val="00FC21BB"/>
    <w:rsid w:val="00FC2254"/>
    <w:rsid w:val="00FC33CA"/>
    <w:rsid w:val="00FC3605"/>
    <w:rsid w:val="00FC3A64"/>
    <w:rsid w:val="00FC4A97"/>
    <w:rsid w:val="00FC4AFF"/>
    <w:rsid w:val="00FC5542"/>
    <w:rsid w:val="00FC5929"/>
    <w:rsid w:val="00FC606C"/>
    <w:rsid w:val="00FC6334"/>
    <w:rsid w:val="00FC6681"/>
    <w:rsid w:val="00FC693F"/>
    <w:rsid w:val="00FC6CE0"/>
    <w:rsid w:val="00FC6D8A"/>
    <w:rsid w:val="00FD0C17"/>
    <w:rsid w:val="00FD265F"/>
    <w:rsid w:val="00FD2984"/>
    <w:rsid w:val="00FD2BF2"/>
    <w:rsid w:val="00FD2D1C"/>
    <w:rsid w:val="00FD3107"/>
    <w:rsid w:val="00FD37C6"/>
    <w:rsid w:val="00FD46C7"/>
    <w:rsid w:val="00FD4C5F"/>
    <w:rsid w:val="00FD55F7"/>
    <w:rsid w:val="00FE006E"/>
    <w:rsid w:val="00FE01FE"/>
    <w:rsid w:val="00FE0528"/>
    <w:rsid w:val="00FE06CA"/>
    <w:rsid w:val="00FE0E7B"/>
    <w:rsid w:val="00FE1429"/>
    <w:rsid w:val="00FE1BF2"/>
    <w:rsid w:val="00FE225A"/>
    <w:rsid w:val="00FE3646"/>
    <w:rsid w:val="00FE39F6"/>
    <w:rsid w:val="00FE40F5"/>
    <w:rsid w:val="00FE4A74"/>
    <w:rsid w:val="00FE4E43"/>
    <w:rsid w:val="00FE6CA8"/>
    <w:rsid w:val="00FE7921"/>
    <w:rsid w:val="00FF0D23"/>
    <w:rsid w:val="00FF0F95"/>
    <w:rsid w:val="00FF1C8C"/>
    <w:rsid w:val="00FF2AA2"/>
    <w:rsid w:val="00FF385B"/>
    <w:rsid w:val="00FF493D"/>
    <w:rsid w:val="00FF53BD"/>
    <w:rsid w:val="00FF670F"/>
    <w:rsid w:val="00FF6910"/>
    <w:rsid w:val="00FF723E"/>
    <w:rsid w:val="00FF72F2"/>
    <w:rsid w:val="0149E4B3"/>
    <w:rsid w:val="01CAA55A"/>
    <w:rsid w:val="02E536D2"/>
    <w:rsid w:val="057DA4F1"/>
    <w:rsid w:val="0621C9C0"/>
    <w:rsid w:val="071FA748"/>
    <w:rsid w:val="0722BE5D"/>
    <w:rsid w:val="07700DDB"/>
    <w:rsid w:val="07B000C7"/>
    <w:rsid w:val="0821ED4A"/>
    <w:rsid w:val="08DCE786"/>
    <w:rsid w:val="0A3EE347"/>
    <w:rsid w:val="0C7FABAC"/>
    <w:rsid w:val="0D006F8E"/>
    <w:rsid w:val="0E162607"/>
    <w:rsid w:val="0E7CA35F"/>
    <w:rsid w:val="0E9CCE51"/>
    <w:rsid w:val="0EB9F5A3"/>
    <w:rsid w:val="0FC03C09"/>
    <w:rsid w:val="0FF91829"/>
    <w:rsid w:val="11D5EFED"/>
    <w:rsid w:val="129FB3D9"/>
    <w:rsid w:val="14426D8E"/>
    <w:rsid w:val="1494F981"/>
    <w:rsid w:val="14F778E5"/>
    <w:rsid w:val="1A58D824"/>
    <w:rsid w:val="1FF17477"/>
    <w:rsid w:val="20282F5B"/>
    <w:rsid w:val="21EB24DA"/>
    <w:rsid w:val="23D2CECC"/>
    <w:rsid w:val="2553DB15"/>
    <w:rsid w:val="25F2DE61"/>
    <w:rsid w:val="25FFFD1C"/>
    <w:rsid w:val="275E76B9"/>
    <w:rsid w:val="27E6ACAA"/>
    <w:rsid w:val="29DD2799"/>
    <w:rsid w:val="2A49E4F0"/>
    <w:rsid w:val="2B0B77AF"/>
    <w:rsid w:val="2C8806D2"/>
    <w:rsid w:val="2D7FF68D"/>
    <w:rsid w:val="2D9174A3"/>
    <w:rsid w:val="2E1E5945"/>
    <w:rsid w:val="30005EFA"/>
    <w:rsid w:val="33A5D5B3"/>
    <w:rsid w:val="33E152AF"/>
    <w:rsid w:val="3449EE23"/>
    <w:rsid w:val="36DBFBD7"/>
    <w:rsid w:val="386667C0"/>
    <w:rsid w:val="3CB4085C"/>
    <w:rsid w:val="3D2499D3"/>
    <w:rsid w:val="3EE1BC0B"/>
    <w:rsid w:val="405E63E1"/>
    <w:rsid w:val="41A331AE"/>
    <w:rsid w:val="446F7ACF"/>
    <w:rsid w:val="44E020E3"/>
    <w:rsid w:val="481169B4"/>
    <w:rsid w:val="4AAF3528"/>
    <w:rsid w:val="4B21D25B"/>
    <w:rsid w:val="4BB80C4B"/>
    <w:rsid w:val="4C2C0833"/>
    <w:rsid w:val="4D526E88"/>
    <w:rsid w:val="4E67E884"/>
    <w:rsid w:val="4EABC98E"/>
    <w:rsid w:val="500D1A5E"/>
    <w:rsid w:val="51B22F35"/>
    <w:rsid w:val="51D95271"/>
    <w:rsid w:val="525321C8"/>
    <w:rsid w:val="52761A77"/>
    <w:rsid w:val="52989856"/>
    <w:rsid w:val="53131E75"/>
    <w:rsid w:val="53BCC3EA"/>
    <w:rsid w:val="53DFA4A4"/>
    <w:rsid w:val="54B0DC72"/>
    <w:rsid w:val="562E5F62"/>
    <w:rsid w:val="56EDCBF3"/>
    <w:rsid w:val="580DF725"/>
    <w:rsid w:val="58AD332D"/>
    <w:rsid w:val="58B4ECBD"/>
    <w:rsid w:val="5B4B6962"/>
    <w:rsid w:val="5B96E941"/>
    <w:rsid w:val="5BF74D84"/>
    <w:rsid w:val="5C10550F"/>
    <w:rsid w:val="5D89FD2F"/>
    <w:rsid w:val="5E6A88D1"/>
    <w:rsid w:val="5E959462"/>
    <w:rsid w:val="5F654483"/>
    <w:rsid w:val="6058514A"/>
    <w:rsid w:val="62784264"/>
    <w:rsid w:val="6301EB67"/>
    <w:rsid w:val="633EEC47"/>
    <w:rsid w:val="63FAA6C0"/>
    <w:rsid w:val="646C91CC"/>
    <w:rsid w:val="6474E99B"/>
    <w:rsid w:val="65ECC51D"/>
    <w:rsid w:val="66450332"/>
    <w:rsid w:val="67CE09FA"/>
    <w:rsid w:val="68C71DBB"/>
    <w:rsid w:val="68E79587"/>
    <w:rsid w:val="6A69BC81"/>
    <w:rsid w:val="6AA8A365"/>
    <w:rsid w:val="6AF3421F"/>
    <w:rsid w:val="6B515B76"/>
    <w:rsid w:val="6F17D944"/>
    <w:rsid w:val="71F5D1A1"/>
    <w:rsid w:val="7457D87C"/>
    <w:rsid w:val="74BB0C24"/>
    <w:rsid w:val="74D036C3"/>
    <w:rsid w:val="76E10DCE"/>
    <w:rsid w:val="7A48C143"/>
    <w:rsid w:val="7AF32F66"/>
    <w:rsid w:val="7B3035B0"/>
    <w:rsid w:val="7B3386C5"/>
    <w:rsid w:val="7C0EAF40"/>
    <w:rsid w:val="7D2EA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en-US"/>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paragraph" w:styleId="BalloonText">
    <w:name w:val="Balloon Text"/>
    <w:basedOn w:val="Normal"/>
    <w:link w:val="BalloonTextChar"/>
    <w:uiPriority w:val="99"/>
    <w:semiHidden/>
    <w:unhideWhenUsed/>
    <w:rsid w:val="00C2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1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en-US"/>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paragraph" w:styleId="BalloonText">
    <w:name w:val="Balloon Text"/>
    <w:basedOn w:val="Normal"/>
    <w:link w:val="BalloonTextChar"/>
    <w:uiPriority w:val="99"/>
    <w:semiHidden/>
    <w:unhideWhenUsed/>
    <w:rsid w:val="00C2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1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A449-705F-4F53-AE3A-47A56BDDC2B0}">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03277323-203F-4B9A-8D4B-4ABCD62021E8}">
  <ds:schemaRefs>
    <ds:schemaRef ds:uri="http://schemas.microsoft.com/sharepoint/v3/contenttype/forms"/>
  </ds:schemaRefs>
</ds:datastoreItem>
</file>

<file path=customXml/itemProps3.xml><?xml version="1.0" encoding="utf-8"?>
<ds:datastoreItem xmlns:ds="http://schemas.openxmlformats.org/officeDocument/2006/customXml" ds:itemID="{BB45C24E-CDB6-48F3-AFBE-F4629D24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59636-6B33-4116-A701-B3C75CF9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6552</Words>
  <Characters>37348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ngocnv@Petrolimex.com.vn</dc:creator>
  <cp:lastModifiedBy>Thuy Hang</cp:lastModifiedBy>
  <cp:revision>3</cp:revision>
  <cp:lastPrinted>2026-03-13T06:50:00Z</cp:lastPrinted>
  <dcterms:created xsi:type="dcterms:W3CDTF">2026-04-06T05:20:00Z</dcterms:created>
  <dcterms:modified xsi:type="dcterms:W3CDTF">2026-04-06T06:06:00Z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45bda0cf-7658-41a4-b309-172b14cf2c71</vt:lpwstr>
  </property>
  <property fmtid="{D5CDD505-2E9C-101B-9397-08002B2CF9AE}" pid="3" name="ContentTypeId">
    <vt:lpwstr>0x01010022F7C894CEB2784C838A3D5E358CBF2D</vt:lpwstr>
  </property>
  <property fmtid="{D5CDD505-2E9C-101B-9397-08002B2CF9AE}" pid="4" name="MediaServiceImageTags">
    <vt:lpwstr/>
  </property>
  <property fmtid="{D5CDD505-2E9C-101B-9397-08002B2CF9AE}" pid="5" name="docLang">
    <vt:lpwstr>vi</vt:lpwstr>
  </property>
</Properties>
</file>