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CDE50" w14:textId="77777777" w:rsidR="00BF4B36" w:rsidRPr="00E72358" w:rsidRDefault="00BF4B36" w:rsidP="004A5F3B">
      <w:pPr>
        <w:widowControl w:val="0"/>
        <w:adjustRightInd w:val="0"/>
        <w:snapToGrid w:val="0"/>
        <w:spacing w:after="0" w:line="252" w:lineRule="auto"/>
        <w:ind w:left="2160"/>
        <w:jc w:val="both"/>
        <w:rPr>
          <w:rFonts w:cs="Times New Roman"/>
          <w:color w:val="000000" w:themeColor="text1"/>
          <w:sz w:val="22"/>
        </w:rPr>
      </w:pPr>
    </w:p>
    <w:p w14:paraId="38AF94D2" w14:textId="08D6B3A1" w:rsidR="00D51DB4" w:rsidRPr="00E72358" w:rsidRDefault="0084155F" w:rsidP="004A5F3B">
      <w:pPr>
        <w:pStyle w:val="Heading1"/>
        <w:widowControl w:val="0"/>
        <w:numPr>
          <w:ilvl w:val="0"/>
          <w:numId w:val="0"/>
        </w:numPr>
        <w:adjustRightInd w:val="0"/>
        <w:snapToGrid w:val="0"/>
        <w:spacing w:before="0" w:line="276" w:lineRule="auto"/>
        <w:contextualSpacing w:val="0"/>
        <w:jc w:val="center"/>
        <w:rPr>
          <w:rFonts w:ascii="Times New Roman" w:hAnsi="Times New Roman" w:cs="Times New Roman"/>
          <w:bCs/>
          <w:sz w:val="26"/>
          <w:szCs w:val="26"/>
        </w:rPr>
      </w:pPr>
      <w:r w:rsidRPr="00E72358">
        <w:rPr>
          <w:rFonts w:ascii="Times New Roman" w:hAnsi="Times New Roman" w:cs="Times New Roman"/>
          <w:sz w:val="26"/>
        </w:rPr>
        <w:t>APPENDIX I – SUMMARY TABLE OF RECOMMENDED AMENDMENTS AND SUPPLEMENT</w:t>
      </w:r>
      <w:r w:rsidR="00AE09A7">
        <w:rPr>
          <w:rFonts w:ascii="Times New Roman" w:hAnsi="Times New Roman" w:cs="Times New Roman"/>
          <w:sz w:val="26"/>
        </w:rPr>
        <w:t>S</w:t>
      </w:r>
      <w:r w:rsidRPr="00E72358">
        <w:rPr>
          <w:rFonts w:ascii="Times New Roman" w:hAnsi="Times New Roman" w:cs="Times New Roman"/>
          <w:sz w:val="26"/>
        </w:rPr>
        <w:t xml:space="preserve"> TO THE CHARTER OF PETROLIMEX</w:t>
      </w:r>
    </w:p>
    <w:p w14:paraId="5DBB1B7D" w14:textId="77777777" w:rsidR="00D6146B" w:rsidRPr="00E72358" w:rsidRDefault="00D6146B" w:rsidP="004A5F3B">
      <w:pPr>
        <w:widowControl w:val="0"/>
        <w:adjustRightInd w:val="0"/>
        <w:snapToGrid w:val="0"/>
        <w:spacing w:after="0"/>
        <w:rPr>
          <w:rFonts w:cs="Times New Roman"/>
          <w:color w:val="000000" w:themeColor="text1"/>
          <w:sz w:val="22"/>
        </w:rPr>
      </w:pPr>
    </w:p>
    <w:p w14:paraId="06FF5245" w14:textId="6DD6F5A6" w:rsidR="008B61F7" w:rsidRPr="00E72358" w:rsidRDefault="003D3ADB" w:rsidP="004A5F3B">
      <w:pPr>
        <w:pStyle w:val="ListParagraph"/>
        <w:widowControl w:val="0"/>
        <w:numPr>
          <w:ilvl w:val="0"/>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b/>
          <w:color w:val="000000" w:themeColor="text1"/>
          <w:sz w:val="22"/>
        </w:rPr>
        <w:t xml:space="preserve">Purpose: </w:t>
      </w:r>
      <w:r w:rsidRPr="00E72358">
        <w:rPr>
          <w:rFonts w:cs="Times New Roman"/>
          <w:color w:val="000000" w:themeColor="text1"/>
          <w:sz w:val="22"/>
        </w:rPr>
        <w:t xml:space="preserve">Summarize the recommended amendment and supplement to the 2025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Charter.</w:t>
      </w:r>
    </w:p>
    <w:p w14:paraId="36D407F0" w14:textId="77777777" w:rsidR="00FB3D7B" w:rsidRPr="00E72358" w:rsidRDefault="00FB3D7B" w:rsidP="004A5F3B">
      <w:pPr>
        <w:pStyle w:val="ListParagraph"/>
        <w:widowControl w:val="0"/>
        <w:adjustRightInd w:val="0"/>
        <w:snapToGrid w:val="0"/>
        <w:spacing w:after="0"/>
        <w:ind w:left="567" w:hanging="567"/>
        <w:contextualSpacing w:val="0"/>
        <w:jc w:val="both"/>
        <w:rPr>
          <w:rFonts w:cs="Times New Roman"/>
          <w:color w:val="000000" w:themeColor="text1"/>
          <w:sz w:val="22"/>
        </w:rPr>
      </w:pPr>
    </w:p>
    <w:p w14:paraId="29371994" w14:textId="6A9AC51C" w:rsidR="00FB3D7B" w:rsidRPr="00E72358" w:rsidRDefault="00EB46DD" w:rsidP="004A5F3B">
      <w:pPr>
        <w:pStyle w:val="ListParagraph"/>
        <w:widowControl w:val="0"/>
        <w:numPr>
          <w:ilvl w:val="0"/>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b/>
          <w:bCs/>
        </w:rPr>
        <w:t>Legal bases for review, update and amendment/supplement</w:t>
      </w:r>
      <w:r w:rsidR="00E37BD2" w:rsidRPr="00E72358">
        <w:rPr>
          <w:rFonts w:cs="Times New Roman"/>
          <w:b/>
          <w:color w:val="000000" w:themeColor="text1"/>
          <w:sz w:val="22"/>
        </w:rPr>
        <w:t>:</w:t>
      </w:r>
    </w:p>
    <w:p w14:paraId="00A1771F" w14:textId="2ED5E9A5" w:rsidR="00B74480" w:rsidRPr="00E72358"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color w:val="000000" w:themeColor="text1"/>
          <w:sz w:val="22"/>
        </w:rPr>
        <w:t xml:space="preserve">The Resolution No. 79-NQ/TW of the </w:t>
      </w:r>
      <w:r w:rsidR="00C74071" w:rsidRPr="00E72358">
        <w:rPr>
          <w:rFonts w:cs="Times New Roman"/>
          <w:color w:val="000000" w:themeColor="text1"/>
          <w:sz w:val="22"/>
        </w:rPr>
        <w:t>Politburo</w:t>
      </w:r>
      <w:r w:rsidRPr="00E72358">
        <w:rPr>
          <w:rFonts w:cs="Times New Roman"/>
          <w:color w:val="000000" w:themeColor="text1"/>
          <w:sz w:val="22"/>
        </w:rPr>
        <w:t xml:space="preserve"> dated January 6, 2026 on State Economy Development (</w:t>
      </w:r>
      <w:r w:rsidRPr="00E72358">
        <w:rPr>
          <w:rFonts w:cs="Times New Roman"/>
          <w:b/>
          <w:color w:val="000000" w:themeColor="text1"/>
          <w:sz w:val="22"/>
        </w:rPr>
        <w:t>Resolution 79</w:t>
      </w:r>
      <w:r w:rsidRPr="00E72358">
        <w:rPr>
          <w:rFonts w:cs="Times New Roman"/>
          <w:color w:val="000000" w:themeColor="text1"/>
          <w:sz w:val="22"/>
        </w:rPr>
        <w:t>);</w:t>
      </w:r>
    </w:p>
    <w:p w14:paraId="4D638D5E" w14:textId="77777777" w:rsidR="00B74480" w:rsidRPr="00E72358"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color w:val="000000" w:themeColor="text1"/>
          <w:sz w:val="22"/>
        </w:rPr>
        <w:t>The Law No. 76/2025/QH15 on amending and supplementing a number of</w:t>
      </w:r>
      <w:bookmarkStart w:id="0" w:name="_GoBack"/>
      <w:bookmarkEnd w:id="0"/>
      <w:r w:rsidRPr="00E72358">
        <w:rPr>
          <w:rFonts w:cs="Times New Roman"/>
          <w:color w:val="000000" w:themeColor="text1"/>
          <w:sz w:val="22"/>
        </w:rPr>
        <w:t xml:space="preserve"> Articles of the Law on Enterprises approved on June 17, 2025 by the National Assembly of the Socialist Republic of Vietnam (the </w:t>
      </w:r>
      <w:r w:rsidRPr="00E72358">
        <w:rPr>
          <w:rFonts w:cs="Times New Roman"/>
          <w:b/>
          <w:bCs/>
          <w:color w:val="000000" w:themeColor="text1"/>
          <w:sz w:val="22"/>
        </w:rPr>
        <w:t>amended Law on Enterprises 2025</w:t>
      </w:r>
      <w:r w:rsidRPr="00E72358">
        <w:rPr>
          <w:rFonts w:cs="Times New Roman"/>
          <w:color w:val="000000" w:themeColor="text1"/>
          <w:sz w:val="22"/>
        </w:rPr>
        <w:t>);</w:t>
      </w:r>
    </w:p>
    <w:p w14:paraId="7F333653" w14:textId="125D1131" w:rsidR="00B74480" w:rsidRPr="00E72358"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color w:val="000000" w:themeColor="text1"/>
          <w:sz w:val="22"/>
        </w:rPr>
        <w:t>The Law on Management and Investment of State Capital in Enterprises No. 68/2025/QH15 approved on June 14, 2025 by the National Assembly of the Socialist Republic of Vietnam (</w:t>
      </w:r>
      <w:r w:rsidRPr="00E72358">
        <w:rPr>
          <w:rFonts w:cs="Times New Roman"/>
          <w:b/>
          <w:color w:val="000000" w:themeColor="text1"/>
          <w:sz w:val="22"/>
        </w:rPr>
        <w:t>Law 68</w:t>
      </w:r>
      <w:r w:rsidRPr="00E72358">
        <w:rPr>
          <w:rFonts w:cs="Times New Roman"/>
          <w:color w:val="000000" w:themeColor="text1"/>
          <w:sz w:val="22"/>
        </w:rPr>
        <w:t>);</w:t>
      </w:r>
    </w:p>
    <w:p w14:paraId="2EB2F159" w14:textId="6F2B034A" w:rsidR="00B74480" w:rsidRPr="00E72358"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color w:val="000000" w:themeColor="text1"/>
          <w:sz w:val="22"/>
        </w:rPr>
        <w:t>The Decree No. 245/2025/N</w:t>
      </w:r>
      <w:r w:rsidR="00C74071" w:rsidRPr="00E72358">
        <w:rPr>
          <w:rFonts w:cs="Times New Roman"/>
          <w:color w:val="000000" w:themeColor="text1"/>
          <w:sz w:val="22"/>
        </w:rPr>
        <w:t>D</w:t>
      </w:r>
      <w:r w:rsidRPr="00E72358">
        <w:rPr>
          <w:rFonts w:cs="Times New Roman"/>
          <w:color w:val="000000" w:themeColor="text1"/>
          <w:sz w:val="22"/>
        </w:rPr>
        <w:t>-CP of the Government dated September 11, 2025 on amending and supplementing a number of Articles of the Decree No. 155/2020/N</w:t>
      </w:r>
      <w:r w:rsidR="00C74071" w:rsidRPr="00E72358">
        <w:rPr>
          <w:rFonts w:cs="Times New Roman"/>
          <w:color w:val="000000" w:themeColor="text1"/>
          <w:sz w:val="22"/>
        </w:rPr>
        <w:t>D</w:t>
      </w:r>
      <w:r w:rsidRPr="00E72358">
        <w:rPr>
          <w:rFonts w:cs="Times New Roman"/>
          <w:color w:val="000000" w:themeColor="text1"/>
          <w:sz w:val="22"/>
        </w:rPr>
        <w:t>-CP (</w:t>
      </w:r>
      <w:r w:rsidRPr="00E72358">
        <w:rPr>
          <w:rFonts w:cs="Times New Roman"/>
          <w:b/>
          <w:bCs/>
          <w:color w:val="000000" w:themeColor="text1"/>
          <w:sz w:val="22"/>
        </w:rPr>
        <w:t>Decree 245/2025/</w:t>
      </w:r>
      <w:r w:rsidRPr="00E72358">
        <w:rPr>
          <w:rFonts w:cs="Times New Roman"/>
          <w:b/>
          <w:color w:val="000000" w:themeColor="text1"/>
          <w:sz w:val="22"/>
        </w:rPr>
        <w:t>N</w:t>
      </w:r>
      <w:r w:rsidR="00C74071" w:rsidRPr="00E72358">
        <w:rPr>
          <w:rFonts w:cs="Times New Roman"/>
          <w:b/>
          <w:color w:val="000000" w:themeColor="text1"/>
          <w:sz w:val="22"/>
        </w:rPr>
        <w:t>D</w:t>
      </w:r>
      <w:r w:rsidRPr="00E72358">
        <w:rPr>
          <w:rFonts w:cs="Times New Roman"/>
          <w:b/>
          <w:color w:val="000000" w:themeColor="text1"/>
          <w:sz w:val="22"/>
        </w:rPr>
        <w:t>-CP</w:t>
      </w:r>
      <w:r w:rsidRPr="00E72358">
        <w:rPr>
          <w:rFonts w:cs="Times New Roman"/>
          <w:color w:val="000000" w:themeColor="text1"/>
          <w:sz w:val="22"/>
        </w:rPr>
        <w:t>);</w:t>
      </w:r>
    </w:p>
    <w:p w14:paraId="21E19DC7" w14:textId="115568BB" w:rsidR="00B74480" w:rsidRPr="00E72358"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color w:val="000000" w:themeColor="text1"/>
          <w:sz w:val="22"/>
        </w:rPr>
        <w:t>The Decree No. 248/2025/N</w:t>
      </w:r>
      <w:r w:rsidR="00C74071" w:rsidRPr="00E72358">
        <w:rPr>
          <w:rFonts w:cs="Times New Roman"/>
          <w:color w:val="000000" w:themeColor="text1"/>
          <w:sz w:val="22"/>
        </w:rPr>
        <w:t>D</w:t>
      </w:r>
      <w:r w:rsidRPr="00E72358">
        <w:rPr>
          <w:rFonts w:cs="Times New Roman"/>
          <w:color w:val="000000" w:themeColor="text1"/>
          <w:sz w:val="22"/>
        </w:rPr>
        <w:t>-CP of the Government dated September 15, 2025 on the salary, remuneration, and bonus scheme of the direct state ownership representative, the representative of state capital and the controller in State-owned enterprises (</w:t>
      </w:r>
      <w:r w:rsidRPr="00E72358">
        <w:rPr>
          <w:rFonts w:cs="Times New Roman"/>
          <w:b/>
          <w:bCs/>
          <w:color w:val="000000" w:themeColor="text1"/>
          <w:sz w:val="22"/>
        </w:rPr>
        <w:t>Decree 248/2025/N</w:t>
      </w:r>
      <w:r w:rsidR="00C74071" w:rsidRPr="00E72358">
        <w:rPr>
          <w:rFonts w:cs="Times New Roman"/>
          <w:b/>
          <w:bCs/>
          <w:color w:val="000000" w:themeColor="text1"/>
          <w:sz w:val="22"/>
        </w:rPr>
        <w:t>D</w:t>
      </w:r>
      <w:r w:rsidRPr="00E72358">
        <w:rPr>
          <w:rFonts w:cs="Times New Roman"/>
          <w:b/>
          <w:bCs/>
          <w:color w:val="000000" w:themeColor="text1"/>
          <w:sz w:val="22"/>
        </w:rPr>
        <w:t>-CP</w:t>
      </w:r>
      <w:r w:rsidRPr="00E72358">
        <w:rPr>
          <w:rFonts w:cs="Times New Roman"/>
          <w:color w:val="000000" w:themeColor="text1"/>
          <w:sz w:val="22"/>
        </w:rPr>
        <w:t>);</w:t>
      </w:r>
    </w:p>
    <w:p w14:paraId="676EA8D7" w14:textId="71D0725F" w:rsidR="00B74480" w:rsidRPr="00E72358"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color w:val="000000" w:themeColor="text1"/>
          <w:sz w:val="22"/>
        </w:rPr>
        <w:t>The Decree No. 365/2025/N</w:t>
      </w:r>
      <w:r w:rsidR="00C74071" w:rsidRPr="00E72358">
        <w:rPr>
          <w:rFonts w:cs="Times New Roman"/>
          <w:color w:val="000000" w:themeColor="text1"/>
          <w:sz w:val="22"/>
        </w:rPr>
        <w:t>D</w:t>
      </w:r>
      <w:r w:rsidRPr="00E72358">
        <w:rPr>
          <w:rFonts w:cs="Times New Roman"/>
          <w:color w:val="000000" w:themeColor="text1"/>
          <w:sz w:val="22"/>
        </w:rPr>
        <w:t>-CP of the Government dated December 31, 2025 on supervision, inspection, evaluation, classification, reporting and information disclosure in the management and investment of state capital in enterprises (</w:t>
      </w:r>
      <w:r w:rsidRPr="00E72358">
        <w:rPr>
          <w:rFonts w:cs="Times New Roman"/>
          <w:b/>
          <w:bCs/>
          <w:color w:val="000000" w:themeColor="text1"/>
          <w:sz w:val="22"/>
        </w:rPr>
        <w:t>Decree 365/2025/N</w:t>
      </w:r>
      <w:r w:rsidR="00C74071" w:rsidRPr="00E72358">
        <w:rPr>
          <w:rFonts w:cs="Times New Roman"/>
          <w:b/>
          <w:bCs/>
          <w:color w:val="000000" w:themeColor="text1"/>
          <w:sz w:val="22"/>
        </w:rPr>
        <w:t>D</w:t>
      </w:r>
      <w:r w:rsidRPr="00E72358">
        <w:rPr>
          <w:rFonts w:cs="Times New Roman"/>
          <w:b/>
          <w:bCs/>
          <w:color w:val="000000" w:themeColor="text1"/>
          <w:sz w:val="22"/>
        </w:rPr>
        <w:t>-CP</w:t>
      </w:r>
      <w:r w:rsidRPr="00E72358">
        <w:rPr>
          <w:rFonts w:cs="Times New Roman"/>
          <w:color w:val="000000" w:themeColor="text1"/>
          <w:sz w:val="22"/>
        </w:rPr>
        <w:t>);</w:t>
      </w:r>
    </w:p>
    <w:p w14:paraId="1B50403C" w14:textId="179F3A06" w:rsidR="00B74480" w:rsidRPr="00E72358"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color w:val="000000" w:themeColor="text1"/>
          <w:sz w:val="22"/>
        </w:rPr>
        <w:t>The Decree No. 366/2025/N</w:t>
      </w:r>
      <w:r w:rsidR="00C74071" w:rsidRPr="00E72358">
        <w:rPr>
          <w:rFonts w:cs="Times New Roman"/>
          <w:color w:val="000000" w:themeColor="text1"/>
          <w:sz w:val="22"/>
        </w:rPr>
        <w:t>D</w:t>
      </w:r>
      <w:r w:rsidRPr="00E72358">
        <w:rPr>
          <w:rFonts w:cs="Times New Roman"/>
          <w:color w:val="000000" w:themeColor="text1"/>
          <w:sz w:val="22"/>
        </w:rPr>
        <w:t>-CP of the Government dated December 31, 2025 on Management and Investment of State Capital in enterprises (</w:t>
      </w:r>
      <w:r w:rsidRPr="00E72358">
        <w:rPr>
          <w:rFonts w:cs="Times New Roman"/>
          <w:b/>
          <w:bCs/>
          <w:color w:val="000000" w:themeColor="text1"/>
          <w:sz w:val="22"/>
        </w:rPr>
        <w:t>Decree 366/2025/N</w:t>
      </w:r>
      <w:r w:rsidR="00C74071" w:rsidRPr="00E72358">
        <w:rPr>
          <w:rFonts w:cs="Times New Roman"/>
          <w:b/>
          <w:bCs/>
          <w:color w:val="000000" w:themeColor="text1"/>
          <w:sz w:val="22"/>
        </w:rPr>
        <w:t>D</w:t>
      </w:r>
      <w:r w:rsidRPr="00E72358">
        <w:rPr>
          <w:rFonts w:cs="Times New Roman"/>
          <w:b/>
          <w:bCs/>
          <w:color w:val="000000" w:themeColor="text1"/>
          <w:sz w:val="22"/>
        </w:rPr>
        <w:t>-CP</w:t>
      </w:r>
      <w:r w:rsidRPr="00E72358">
        <w:rPr>
          <w:rFonts w:cs="Times New Roman"/>
          <w:color w:val="000000" w:themeColor="text1"/>
          <w:sz w:val="22"/>
        </w:rPr>
        <w:t>);</w:t>
      </w:r>
    </w:p>
    <w:p w14:paraId="70BD087F" w14:textId="1E9E7CDA" w:rsidR="00B74480" w:rsidRPr="00E72358" w:rsidRDefault="00B74480" w:rsidP="004A5F3B">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72358">
        <w:rPr>
          <w:rFonts w:cs="Times New Roman"/>
          <w:color w:val="000000" w:themeColor="text1"/>
          <w:sz w:val="22"/>
        </w:rPr>
        <w:t>The Decree No. 57/2026/N</w:t>
      </w:r>
      <w:r w:rsidR="00C74071" w:rsidRPr="00E72358">
        <w:rPr>
          <w:rFonts w:cs="Times New Roman"/>
          <w:color w:val="000000" w:themeColor="text1"/>
          <w:sz w:val="22"/>
        </w:rPr>
        <w:t>D</w:t>
      </w:r>
      <w:r w:rsidRPr="00E72358">
        <w:rPr>
          <w:rFonts w:cs="Times New Roman"/>
          <w:color w:val="000000" w:themeColor="text1"/>
          <w:sz w:val="22"/>
        </w:rPr>
        <w:t>-CP of the Government dated February 12, 2026 on restructuring of state capital in Enterprises (</w:t>
      </w:r>
      <w:r w:rsidRPr="00E72358">
        <w:rPr>
          <w:rFonts w:cs="Times New Roman"/>
          <w:b/>
          <w:bCs/>
          <w:color w:val="000000" w:themeColor="text1"/>
          <w:sz w:val="22"/>
        </w:rPr>
        <w:t>Decree 57/2026/N</w:t>
      </w:r>
      <w:r w:rsidR="00C74071" w:rsidRPr="00E72358">
        <w:rPr>
          <w:rFonts w:cs="Times New Roman"/>
          <w:b/>
          <w:bCs/>
          <w:color w:val="000000" w:themeColor="text1"/>
          <w:sz w:val="22"/>
        </w:rPr>
        <w:t>D</w:t>
      </w:r>
      <w:r w:rsidRPr="00E72358">
        <w:rPr>
          <w:rFonts w:cs="Times New Roman"/>
          <w:b/>
          <w:bCs/>
          <w:color w:val="000000" w:themeColor="text1"/>
          <w:sz w:val="22"/>
        </w:rPr>
        <w:t>-CP</w:t>
      </w:r>
      <w:r w:rsidRPr="00E72358">
        <w:rPr>
          <w:rFonts w:cs="Times New Roman"/>
          <w:color w:val="000000" w:themeColor="text1"/>
          <w:sz w:val="22"/>
        </w:rPr>
        <w:t>);</w:t>
      </w:r>
    </w:p>
    <w:p w14:paraId="1DBB3840" w14:textId="3B68C8B4" w:rsidR="00EF5C17" w:rsidRPr="00E72358" w:rsidRDefault="00EF5C17" w:rsidP="004A5F3B">
      <w:pPr>
        <w:widowControl w:val="0"/>
        <w:numPr>
          <w:ilvl w:val="1"/>
          <w:numId w:val="15"/>
        </w:numPr>
        <w:adjustRightInd w:val="0"/>
        <w:snapToGrid w:val="0"/>
        <w:spacing w:after="0"/>
        <w:ind w:left="567" w:hanging="567"/>
        <w:jc w:val="both"/>
        <w:rPr>
          <w:rFonts w:cs="Times New Roman"/>
          <w:color w:val="000000" w:themeColor="text1"/>
          <w:sz w:val="22"/>
        </w:rPr>
      </w:pPr>
      <w:r w:rsidRPr="00E72358">
        <w:rPr>
          <w:rFonts w:cs="Times New Roman"/>
          <w:color w:val="000000" w:themeColor="text1"/>
          <w:sz w:val="22"/>
        </w:rPr>
        <w:t>The Corporate Governance Code for Public Companies (2026 Edition), jointly developed by the State Securities Commission and the International Finance Corporation (IFC) (</w:t>
      </w:r>
      <w:r w:rsidRPr="00E72358">
        <w:rPr>
          <w:rFonts w:cs="Times New Roman"/>
          <w:b/>
          <w:bCs/>
          <w:color w:val="000000" w:themeColor="text1"/>
          <w:sz w:val="22"/>
        </w:rPr>
        <w:t>the Code/OECD Principles</w:t>
      </w:r>
      <w:r w:rsidRPr="00E72358">
        <w:rPr>
          <w:rFonts w:cs="Times New Roman"/>
          <w:color w:val="000000" w:themeColor="text1"/>
          <w:sz w:val="22"/>
        </w:rPr>
        <w:t>).</w:t>
      </w:r>
    </w:p>
    <w:p w14:paraId="3E4FDE17" w14:textId="77777777" w:rsidR="00B74480" w:rsidRPr="00E72358" w:rsidRDefault="00B74480" w:rsidP="004A5F3B">
      <w:pPr>
        <w:pStyle w:val="ListParagraph"/>
        <w:widowControl w:val="0"/>
        <w:adjustRightInd w:val="0"/>
        <w:snapToGrid w:val="0"/>
        <w:spacing w:after="0"/>
        <w:ind w:left="567"/>
        <w:contextualSpacing w:val="0"/>
        <w:jc w:val="both"/>
        <w:rPr>
          <w:rFonts w:cs="Times New Roman"/>
          <w:i/>
          <w:iCs/>
          <w:color w:val="000000" w:themeColor="text1"/>
          <w:sz w:val="22"/>
        </w:rPr>
      </w:pPr>
    </w:p>
    <w:tbl>
      <w:tblPr>
        <w:tblStyle w:val="TableGrid"/>
        <w:tblW w:w="5016" w:type="pct"/>
        <w:tblLook w:val="04A0" w:firstRow="1" w:lastRow="0" w:firstColumn="1" w:lastColumn="0" w:noHBand="0" w:noVBand="1"/>
      </w:tblPr>
      <w:tblGrid>
        <w:gridCol w:w="620"/>
        <w:gridCol w:w="1561"/>
        <w:gridCol w:w="3885"/>
        <w:gridCol w:w="4029"/>
        <w:gridCol w:w="3452"/>
      </w:tblGrid>
      <w:tr w:rsidR="00164B1E" w:rsidRPr="00E72358" w14:paraId="4965EDB3" w14:textId="70283E3B" w:rsidTr="00693D24">
        <w:trPr>
          <w:trHeight w:val="20"/>
          <w:tblHeader/>
        </w:trPr>
        <w:tc>
          <w:tcPr>
            <w:tcW w:w="232" w:type="pct"/>
            <w:shd w:val="clear" w:color="auto" w:fill="8D0F3B"/>
          </w:tcPr>
          <w:p w14:paraId="07EB2343" w14:textId="77777777" w:rsidR="006608EA" w:rsidRPr="00E72358" w:rsidRDefault="006608EA" w:rsidP="00427044">
            <w:pPr>
              <w:widowControl w:val="0"/>
              <w:adjustRightInd w:val="0"/>
              <w:snapToGrid w:val="0"/>
              <w:spacing w:before="60" w:after="60" w:line="276" w:lineRule="auto"/>
              <w:jc w:val="center"/>
              <w:rPr>
                <w:rFonts w:cs="Times New Roman"/>
                <w:color w:val="FFFFFF" w:themeColor="background1"/>
                <w:sz w:val="22"/>
              </w:rPr>
            </w:pPr>
            <w:r w:rsidRPr="00E72358">
              <w:rPr>
                <w:rFonts w:cs="Times New Roman"/>
                <w:b/>
                <w:color w:val="FFFFFF" w:themeColor="background1"/>
                <w:sz w:val="22"/>
              </w:rPr>
              <w:t>No.</w:t>
            </w:r>
          </w:p>
        </w:tc>
        <w:tc>
          <w:tcPr>
            <w:tcW w:w="564" w:type="pct"/>
            <w:shd w:val="clear" w:color="auto" w:fill="8D0F3B"/>
          </w:tcPr>
          <w:p w14:paraId="62B482E6" w14:textId="57426480" w:rsidR="006608EA" w:rsidRPr="00E72358" w:rsidRDefault="006608EA" w:rsidP="00427044">
            <w:pPr>
              <w:widowControl w:val="0"/>
              <w:adjustRightInd w:val="0"/>
              <w:snapToGrid w:val="0"/>
              <w:spacing w:before="60" w:after="60" w:line="276" w:lineRule="auto"/>
              <w:jc w:val="center"/>
              <w:rPr>
                <w:rFonts w:cs="Times New Roman"/>
                <w:color w:val="FFFFFF" w:themeColor="background1"/>
                <w:sz w:val="22"/>
              </w:rPr>
            </w:pPr>
            <w:r w:rsidRPr="00E72358">
              <w:rPr>
                <w:rFonts w:cs="Times New Roman"/>
                <w:b/>
                <w:color w:val="FFFFFF" w:themeColor="background1"/>
                <w:sz w:val="22"/>
              </w:rPr>
              <w:t>Article/Clause of the 2025 Charter</w:t>
            </w:r>
          </w:p>
        </w:tc>
        <w:tc>
          <w:tcPr>
            <w:tcW w:w="1437" w:type="pct"/>
            <w:shd w:val="clear" w:color="auto" w:fill="8D0F3B"/>
          </w:tcPr>
          <w:p w14:paraId="420EAF49" w14:textId="2B4AD62E" w:rsidR="006608EA" w:rsidRPr="00E72358" w:rsidRDefault="006608EA" w:rsidP="00427044">
            <w:pPr>
              <w:widowControl w:val="0"/>
              <w:adjustRightInd w:val="0"/>
              <w:snapToGrid w:val="0"/>
              <w:spacing w:before="60" w:after="60" w:line="276" w:lineRule="auto"/>
              <w:jc w:val="center"/>
              <w:rPr>
                <w:rFonts w:cs="Times New Roman"/>
                <w:color w:val="FFFFFF" w:themeColor="background1"/>
                <w:sz w:val="22"/>
              </w:rPr>
            </w:pPr>
            <w:r w:rsidRPr="00E72358">
              <w:rPr>
                <w:rFonts w:cs="Times New Roman"/>
                <w:b/>
                <w:color w:val="FFFFFF" w:themeColor="background1"/>
                <w:sz w:val="22"/>
              </w:rPr>
              <w:t>The 2025 Charter</w:t>
            </w:r>
          </w:p>
        </w:tc>
        <w:tc>
          <w:tcPr>
            <w:tcW w:w="1490" w:type="pct"/>
            <w:shd w:val="clear" w:color="auto" w:fill="8D0F3B"/>
          </w:tcPr>
          <w:p w14:paraId="4867556A" w14:textId="77777777" w:rsidR="006608EA" w:rsidRPr="00E72358" w:rsidRDefault="006608EA" w:rsidP="00427044">
            <w:pPr>
              <w:widowControl w:val="0"/>
              <w:adjustRightInd w:val="0"/>
              <w:snapToGrid w:val="0"/>
              <w:spacing w:before="60" w:after="60" w:line="276" w:lineRule="auto"/>
              <w:jc w:val="center"/>
              <w:rPr>
                <w:rFonts w:cs="Times New Roman"/>
                <w:color w:val="FFFFFF" w:themeColor="background1"/>
                <w:sz w:val="22"/>
              </w:rPr>
            </w:pPr>
            <w:r w:rsidRPr="00E72358">
              <w:rPr>
                <w:rFonts w:cs="Times New Roman"/>
                <w:b/>
                <w:color w:val="FFFFFF" w:themeColor="background1"/>
                <w:sz w:val="22"/>
              </w:rPr>
              <w:t>The 2026 Draft Charter</w:t>
            </w:r>
          </w:p>
        </w:tc>
        <w:tc>
          <w:tcPr>
            <w:tcW w:w="1277" w:type="pct"/>
            <w:shd w:val="clear" w:color="auto" w:fill="8D0E3B"/>
          </w:tcPr>
          <w:p w14:paraId="3F44B1CD" w14:textId="77777777" w:rsidR="006608EA" w:rsidRPr="00E72358" w:rsidRDefault="006608EA" w:rsidP="00427044">
            <w:pPr>
              <w:widowControl w:val="0"/>
              <w:adjustRightInd w:val="0"/>
              <w:snapToGrid w:val="0"/>
              <w:spacing w:before="60" w:after="60" w:line="276" w:lineRule="auto"/>
              <w:jc w:val="center"/>
              <w:rPr>
                <w:rFonts w:cs="Times New Roman"/>
                <w:b/>
                <w:bCs/>
                <w:color w:val="FFFFFF" w:themeColor="background1"/>
                <w:sz w:val="22"/>
              </w:rPr>
            </w:pPr>
            <w:r w:rsidRPr="00E72358">
              <w:rPr>
                <w:rFonts w:cs="Times New Roman"/>
                <w:b/>
                <w:color w:val="FFFFFF" w:themeColor="background1"/>
                <w:sz w:val="22"/>
              </w:rPr>
              <w:t>Reason/Recitals for amendment</w:t>
            </w:r>
          </w:p>
        </w:tc>
      </w:tr>
      <w:tr w:rsidR="00164B1E" w:rsidRPr="00E72358" w14:paraId="32FB94FB" w14:textId="77777777" w:rsidTr="00693D24">
        <w:trPr>
          <w:trHeight w:val="20"/>
        </w:trPr>
        <w:tc>
          <w:tcPr>
            <w:tcW w:w="232" w:type="pct"/>
          </w:tcPr>
          <w:p w14:paraId="461AACFC" w14:textId="77777777" w:rsidR="00655F57" w:rsidRPr="00E72358" w:rsidRDefault="00655F57"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086B24DB" w14:textId="0A3842BD" w:rsidR="00655F57" w:rsidRPr="00E72358" w:rsidRDefault="00655F57"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Article 1, Clause 1</w:t>
            </w:r>
          </w:p>
        </w:tc>
        <w:tc>
          <w:tcPr>
            <w:tcW w:w="1437" w:type="pct"/>
          </w:tcPr>
          <w:p w14:paraId="117188DA" w14:textId="2B65036F" w:rsidR="00655F57" w:rsidRPr="00E72358" w:rsidRDefault="00655F57"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Vietnam National Petroleum Group (hereinafter referred to as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/Group) as Parent Company of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is a Joint Stock Company having legal entity, separate </w:t>
            </w:r>
            <w:r w:rsidRPr="00E72358">
              <w:rPr>
                <w:rFonts w:cs="Times New Roman"/>
                <w:color w:val="000000" w:themeColor="text1"/>
                <w:sz w:val="22"/>
              </w:rPr>
              <w:lastRenderedPageBreak/>
              <w:t>stamp, eligible to open the account at the bank, duly organized and operated under the Law on Enterprises, relevant legal regulations and this Charter.</w:t>
            </w:r>
          </w:p>
        </w:tc>
        <w:tc>
          <w:tcPr>
            <w:tcW w:w="1490" w:type="pct"/>
          </w:tcPr>
          <w:p w14:paraId="4B9BDBE0" w14:textId="4E88A674" w:rsidR="00655F57" w:rsidRPr="00E72358" w:rsidRDefault="00655F57"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lastRenderedPageBreak/>
              <w:t xml:space="preserve">Vietnam National Petroleum Group (hereinafter referred to as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/Group) as Parent Company of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is a Joint Stock Company having legal entity, separate </w:t>
            </w:r>
            <w:r w:rsidRPr="00E72358">
              <w:rPr>
                <w:rFonts w:cs="Times New Roman"/>
                <w:color w:val="000000" w:themeColor="text1"/>
                <w:sz w:val="22"/>
              </w:rPr>
              <w:lastRenderedPageBreak/>
              <w:t>stamp, eligible to open the account at the bank, duly organized and operated under the Law on Enterprises</w:t>
            </w:r>
            <w:r w:rsidRPr="00E72358">
              <w:rPr>
                <w:rFonts w:cs="Times New Roman"/>
                <w:color w:val="000000" w:themeColor="text1"/>
                <w:sz w:val="22"/>
                <w:u w:val="single"/>
              </w:rPr>
              <w:t xml:space="preserve">, the Law on Securities, the Law on Management and Investment of State Capital in Enterprises and </w:t>
            </w:r>
            <w:r w:rsidRPr="00E72358">
              <w:rPr>
                <w:rFonts w:cs="Times New Roman"/>
                <w:color w:val="000000" w:themeColor="text1"/>
                <w:sz w:val="22"/>
              </w:rPr>
              <w:t xml:space="preserve">other </w:t>
            </w:r>
            <w:r w:rsidR="00EB46DD" w:rsidRPr="00E72358">
              <w:rPr>
                <w:rFonts w:cs="Times New Roman"/>
                <w:color w:val="000000" w:themeColor="text1"/>
                <w:sz w:val="22"/>
              </w:rPr>
              <w:t>provisions of law</w:t>
            </w:r>
            <w:r w:rsidRPr="00E72358">
              <w:rPr>
                <w:rFonts w:cs="Times New Roman"/>
                <w:color w:val="000000" w:themeColor="text1"/>
                <w:sz w:val="22"/>
              </w:rPr>
              <w:t xml:space="preserve"> and this Charter.</w:t>
            </w:r>
          </w:p>
        </w:tc>
        <w:tc>
          <w:tcPr>
            <w:tcW w:w="1277" w:type="pct"/>
          </w:tcPr>
          <w:p w14:paraId="354F018F" w14:textId="3672B28B" w:rsidR="00655F57" w:rsidRPr="00E72358" w:rsidRDefault="00655F57"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lastRenderedPageBreak/>
              <w:t xml:space="preserve">Supplement the regulatory sources, governing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in accordance with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actual scope of operation.</w:t>
            </w:r>
          </w:p>
        </w:tc>
      </w:tr>
      <w:tr w:rsidR="00164B1E" w:rsidRPr="00E72358" w14:paraId="12F6E035" w14:textId="626547C4" w:rsidTr="00693D24">
        <w:trPr>
          <w:trHeight w:val="20"/>
        </w:trPr>
        <w:tc>
          <w:tcPr>
            <w:tcW w:w="232" w:type="pct"/>
          </w:tcPr>
          <w:p w14:paraId="665CB8E7" w14:textId="77777777" w:rsidR="006608EA" w:rsidRPr="00E72358"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0E2E5DB2" w14:textId="69EEBA72"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Article 1, Clause 9</w:t>
            </w:r>
          </w:p>
        </w:tc>
        <w:tc>
          <w:tcPr>
            <w:tcW w:w="1437" w:type="pct"/>
          </w:tcPr>
          <w:p w14:paraId="23CD3F19" w14:textId="15BDCF2A"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w:t>
            </w:r>
            <w:r w:rsidRPr="00E72358">
              <w:rPr>
                <w:rFonts w:cs="Times New Roman"/>
                <w:i/>
                <w:color w:val="000000" w:themeColor="text1"/>
                <w:sz w:val="22"/>
              </w:rPr>
              <w:t>Law on Enterprises</w:t>
            </w:r>
            <w:r w:rsidRPr="00E72358">
              <w:rPr>
                <w:rFonts w:cs="Times New Roman"/>
                <w:color w:val="000000" w:themeColor="text1"/>
                <w:sz w:val="22"/>
              </w:rPr>
              <w:t>” refers to the Law on Enterprises No. 59/2020/QH14 adopted on June 17, 2020 by the National Assembly of the Socialist Republic of Vietnam.</w:t>
            </w:r>
          </w:p>
        </w:tc>
        <w:tc>
          <w:tcPr>
            <w:tcW w:w="1490" w:type="pct"/>
          </w:tcPr>
          <w:p w14:paraId="13FA55DC" w14:textId="62159382" w:rsidR="006608EA" w:rsidRPr="00E72358" w:rsidRDefault="006608EA" w:rsidP="00F70976">
            <w:pPr>
              <w:widowControl w:val="0"/>
              <w:adjustRightInd w:val="0"/>
              <w:snapToGrid w:val="0"/>
              <w:spacing w:before="60" w:after="60" w:line="276" w:lineRule="auto"/>
              <w:jc w:val="both"/>
              <w:rPr>
                <w:rFonts w:cs="Times New Roman"/>
                <w:color w:val="000000" w:themeColor="text1"/>
                <w:sz w:val="22"/>
                <w:u w:val="single"/>
              </w:rPr>
            </w:pPr>
            <w:r w:rsidRPr="00E72358">
              <w:rPr>
                <w:rFonts w:cs="Times New Roman"/>
                <w:color w:val="000000" w:themeColor="text1"/>
                <w:sz w:val="22"/>
              </w:rPr>
              <w:t>“</w:t>
            </w:r>
            <w:r w:rsidRPr="00E72358">
              <w:rPr>
                <w:rFonts w:cs="Times New Roman"/>
                <w:i/>
                <w:iCs/>
                <w:color w:val="000000" w:themeColor="text1"/>
                <w:sz w:val="22"/>
              </w:rPr>
              <w:t>Law on Enterprises</w:t>
            </w:r>
            <w:r w:rsidRPr="00E72358">
              <w:rPr>
                <w:rFonts w:cs="Times New Roman"/>
                <w:color w:val="000000" w:themeColor="text1"/>
                <w:sz w:val="22"/>
              </w:rPr>
              <w:t xml:space="preserve">” refers to the Law on Enterprises No. 59/2020/QH14 approved on June 17, 2020 by the National Assembly of the Socialist Republic of Vietnam, </w:t>
            </w:r>
            <w:r w:rsidRPr="00E72358">
              <w:rPr>
                <w:rFonts w:cs="Times New Roman"/>
                <w:color w:val="000000" w:themeColor="text1"/>
                <w:sz w:val="22"/>
                <w:u w:val="single"/>
              </w:rPr>
              <w:t xml:space="preserve">the Law No. 76/2025/QH15 approved on June 17, 2025 by the National Assembly of the Socialist Republic of Vietnam </w:t>
            </w:r>
            <w:r w:rsidR="00D357CD" w:rsidRPr="00E72358">
              <w:rPr>
                <w:rFonts w:cs="Times New Roman"/>
                <w:color w:val="000000" w:themeColor="text1"/>
                <w:sz w:val="22"/>
                <w:u w:val="single"/>
              </w:rPr>
              <w:t>and its amendments and supplements, replacements (if any) from time to time</w:t>
            </w:r>
            <w:r w:rsidRPr="00E72358">
              <w:rPr>
                <w:rFonts w:cs="Times New Roman"/>
                <w:color w:val="000000" w:themeColor="text1"/>
                <w:sz w:val="22"/>
                <w:u w:val="single"/>
              </w:rPr>
              <w:t>.</w:t>
            </w:r>
          </w:p>
        </w:tc>
        <w:tc>
          <w:tcPr>
            <w:tcW w:w="1277" w:type="pct"/>
          </w:tcPr>
          <w:p w14:paraId="03F3F241" w14:textId="371B7A86"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The Law on Enterprises is amended and supplemented by the Law No. 76/2025/QH15 dated June 17, 2025, </w:t>
            </w:r>
            <w:r w:rsidR="007839A1" w:rsidRPr="00E72358">
              <w:rPr>
                <w:rFonts w:cs="Times New Roman"/>
                <w:color w:val="000000" w:themeColor="text1"/>
                <w:sz w:val="22"/>
              </w:rPr>
              <w:t>effective from</w:t>
            </w:r>
            <w:r w:rsidRPr="00E72358">
              <w:rPr>
                <w:rFonts w:cs="Times New Roman"/>
                <w:color w:val="000000" w:themeColor="text1"/>
                <w:sz w:val="22"/>
              </w:rPr>
              <w:t xml:space="preserve"> July 1, 2025. </w:t>
            </w:r>
          </w:p>
          <w:p w14:paraId="3056F4B7" w14:textId="6C41B778"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The amended contents aim to ensure the regulation's stability by automatically referring to future changes in the Law on Enterprises.</w:t>
            </w:r>
          </w:p>
        </w:tc>
      </w:tr>
      <w:tr w:rsidR="00164B1E" w:rsidRPr="00E72358" w14:paraId="56918572" w14:textId="77777777" w:rsidTr="00693D24">
        <w:trPr>
          <w:trHeight w:val="20"/>
        </w:trPr>
        <w:tc>
          <w:tcPr>
            <w:tcW w:w="232" w:type="pct"/>
          </w:tcPr>
          <w:p w14:paraId="619C7D38" w14:textId="77777777" w:rsidR="00C85FEC" w:rsidRPr="00E72358" w:rsidRDefault="00C85FEC"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4B7CBCFD" w14:textId="10881B42" w:rsidR="00C85FEC" w:rsidRPr="00E72358" w:rsidRDefault="00C85FEC"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Article 1, Clause 10</w:t>
            </w:r>
          </w:p>
        </w:tc>
        <w:tc>
          <w:tcPr>
            <w:tcW w:w="1437" w:type="pct"/>
          </w:tcPr>
          <w:p w14:paraId="0B6B021E" w14:textId="508A622E" w:rsidR="00C85FEC" w:rsidRPr="00E72358" w:rsidRDefault="00C85FEC"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w:t>
            </w:r>
            <w:r w:rsidRPr="00E72358">
              <w:rPr>
                <w:rFonts w:cs="Times New Roman"/>
                <w:i/>
                <w:color w:val="000000" w:themeColor="text1"/>
                <w:sz w:val="22"/>
              </w:rPr>
              <w:t>Law on Securities</w:t>
            </w:r>
            <w:r w:rsidRPr="00E72358">
              <w:rPr>
                <w:rFonts w:cs="Times New Roman"/>
                <w:color w:val="000000" w:themeColor="text1"/>
                <w:sz w:val="22"/>
              </w:rPr>
              <w:t>” refers to the Law on Securities No. 54/2019/QH14 adopted by the National Assembly of the Socialist Republic of Vietnam dated November 26, 2019.</w:t>
            </w:r>
          </w:p>
        </w:tc>
        <w:tc>
          <w:tcPr>
            <w:tcW w:w="1490" w:type="pct"/>
          </w:tcPr>
          <w:p w14:paraId="233CE1F6" w14:textId="4F9A68BE" w:rsidR="00C85FEC" w:rsidRPr="00E72358" w:rsidRDefault="00C85FEC"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w:t>
            </w:r>
            <w:r w:rsidRPr="00E72358">
              <w:rPr>
                <w:rFonts w:cs="Times New Roman"/>
                <w:i/>
                <w:iCs/>
                <w:color w:val="000000" w:themeColor="text1"/>
                <w:sz w:val="22"/>
              </w:rPr>
              <w:t>Law on Securities</w:t>
            </w:r>
            <w:r w:rsidRPr="00E72358">
              <w:rPr>
                <w:rFonts w:cs="Times New Roman"/>
                <w:color w:val="000000" w:themeColor="text1"/>
                <w:sz w:val="22"/>
              </w:rPr>
              <w:t xml:space="preserve">” refers to the Law on Securities No. 54/2019/QH14 approved on November 26, 2019 by the National Assembly of the Socialist Republic of Vietnam, </w:t>
            </w:r>
            <w:r w:rsidRPr="00E72358">
              <w:rPr>
                <w:rFonts w:cs="Times New Roman"/>
                <w:color w:val="000000" w:themeColor="text1"/>
                <w:sz w:val="22"/>
                <w:u w:val="single"/>
              </w:rPr>
              <w:t xml:space="preserve">the Law No. 56/2024/QH15 approved on November 29, 2024 by the National Assembly of the Socialist Republic of Vietnam </w:t>
            </w:r>
            <w:r w:rsidR="00D357CD" w:rsidRPr="00E72358">
              <w:rPr>
                <w:rFonts w:cs="Times New Roman"/>
                <w:color w:val="000000" w:themeColor="text1"/>
                <w:sz w:val="22"/>
                <w:u w:val="single"/>
              </w:rPr>
              <w:t>and its amendments and supplements, replacements (if any) from time to time</w:t>
            </w:r>
            <w:r w:rsidRPr="00E72358">
              <w:rPr>
                <w:rFonts w:cs="Times New Roman"/>
                <w:color w:val="000000" w:themeColor="text1"/>
                <w:sz w:val="22"/>
                <w:u w:val="single"/>
              </w:rPr>
              <w:t>.</w:t>
            </w:r>
          </w:p>
        </w:tc>
        <w:tc>
          <w:tcPr>
            <w:tcW w:w="1277" w:type="pct"/>
          </w:tcPr>
          <w:p w14:paraId="2E8A004F" w14:textId="6AA03C0D" w:rsidR="00C85FEC" w:rsidRPr="00E72358" w:rsidRDefault="00C85FEC"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The Law on Securities 2019 is amended and supplemented by the Law No. 56/2024/QH15 dated November 29, 2024, </w:t>
            </w:r>
            <w:r w:rsidR="007839A1" w:rsidRPr="00E72358">
              <w:rPr>
                <w:rFonts w:cs="Times New Roman"/>
                <w:color w:val="000000" w:themeColor="text1"/>
                <w:sz w:val="22"/>
              </w:rPr>
              <w:t>effective from</w:t>
            </w:r>
            <w:r w:rsidRPr="00E72358">
              <w:rPr>
                <w:rFonts w:cs="Times New Roman"/>
                <w:color w:val="000000" w:themeColor="text1"/>
                <w:sz w:val="22"/>
              </w:rPr>
              <w:t xml:space="preserve"> January 1, 2025. </w:t>
            </w:r>
          </w:p>
          <w:p w14:paraId="71B56285" w14:textId="7F3AAB5D" w:rsidR="00C85FEC" w:rsidRPr="00E72358" w:rsidRDefault="00C85FEC"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The amended contents aim to ensure the regulation's stability by automatically referring to future changes in the Law on Securities.</w:t>
            </w:r>
          </w:p>
        </w:tc>
      </w:tr>
      <w:tr w:rsidR="00164B1E" w:rsidRPr="00E72358" w14:paraId="10846974" w14:textId="77777777" w:rsidTr="00693D24">
        <w:trPr>
          <w:trHeight w:val="20"/>
        </w:trPr>
        <w:tc>
          <w:tcPr>
            <w:tcW w:w="232" w:type="pct"/>
          </w:tcPr>
          <w:p w14:paraId="22882CB7" w14:textId="77777777" w:rsidR="00C85FEC" w:rsidRPr="00E72358" w:rsidRDefault="00C85FEC"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5D2839C7" w14:textId="4393CF21" w:rsidR="00C85FEC" w:rsidRPr="00E72358" w:rsidRDefault="00C85FEC"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Article 1</w:t>
            </w:r>
          </w:p>
        </w:tc>
        <w:tc>
          <w:tcPr>
            <w:tcW w:w="1437" w:type="pct"/>
          </w:tcPr>
          <w:p w14:paraId="6B3D6434" w14:textId="3F3A80D8" w:rsidR="00C85FEC" w:rsidRPr="00E72358" w:rsidRDefault="00C85FEC"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Not specified</w:t>
            </w:r>
          </w:p>
        </w:tc>
        <w:tc>
          <w:tcPr>
            <w:tcW w:w="1490" w:type="pct"/>
          </w:tcPr>
          <w:p w14:paraId="2D3A01B9" w14:textId="1E90F98F" w:rsidR="00C85FEC" w:rsidRPr="00E72358" w:rsidRDefault="005B53C4"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i/>
                <w:color w:val="000000" w:themeColor="text1"/>
                <w:sz w:val="22"/>
              </w:rPr>
              <w:t xml:space="preserve">11. </w:t>
            </w:r>
            <w:r w:rsidRPr="00E72358">
              <w:rPr>
                <w:rFonts w:cs="Times New Roman"/>
                <w:color w:val="000000" w:themeColor="text1"/>
                <w:sz w:val="22"/>
              </w:rPr>
              <w:t>“</w:t>
            </w:r>
            <w:r w:rsidRPr="00E72358">
              <w:rPr>
                <w:rFonts w:cs="Times New Roman"/>
                <w:i/>
                <w:iCs/>
                <w:color w:val="000000" w:themeColor="text1"/>
                <w:sz w:val="22"/>
              </w:rPr>
              <w:t>Law on Management and Investment of State Capital in Enterprise</w:t>
            </w:r>
            <w:r w:rsidRPr="00E72358">
              <w:rPr>
                <w:rFonts w:cs="Times New Roman"/>
                <w:color w:val="000000" w:themeColor="text1"/>
                <w:sz w:val="22"/>
              </w:rPr>
              <w:t xml:space="preserve">” refers to the </w:t>
            </w:r>
            <w:r w:rsidRPr="00E72358">
              <w:rPr>
                <w:rFonts w:cs="Times New Roman"/>
                <w:color w:val="000000" w:themeColor="text1"/>
                <w:sz w:val="22"/>
              </w:rPr>
              <w:lastRenderedPageBreak/>
              <w:t xml:space="preserve">Law on Management and Investment of State Capital in Enterprises No. 68/2025/QH15 approved on June 14, 2025 by the National Assembly of the Socialist Republic of Vietnam </w:t>
            </w:r>
            <w:r w:rsidR="00D357CD" w:rsidRPr="00E72358">
              <w:rPr>
                <w:rFonts w:cs="Times New Roman"/>
                <w:color w:val="000000" w:themeColor="text1"/>
                <w:sz w:val="22"/>
              </w:rPr>
              <w:t>and its amendments and supplements, replacements (if any) from time to time</w:t>
            </w:r>
            <w:r w:rsidRPr="00E72358">
              <w:rPr>
                <w:rFonts w:cs="Times New Roman"/>
                <w:color w:val="000000" w:themeColor="text1"/>
                <w:sz w:val="22"/>
              </w:rPr>
              <w:t>.</w:t>
            </w:r>
          </w:p>
        </w:tc>
        <w:tc>
          <w:tcPr>
            <w:tcW w:w="1277" w:type="pct"/>
          </w:tcPr>
          <w:p w14:paraId="2560E02A" w14:textId="077252CC" w:rsidR="00C85FEC" w:rsidRPr="00E72358" w:rsidRDefault="00C85FEC"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lastRenderedPageBreak/>
              <w:t xml:space="preserve">Supplement because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is governed by the Law 68, valid from </w:t>
            </w:r>
            <w:r w:rsidRPr="00E72358">
              <w:rPr>
                <w:rFonts w:cs="Times New Roman"/>
                <w:color w:val="000000" w:themeColor="text1"/>
                <w:sz w:val="22"/>
              </w:rPr>
              <w:lastRenderedPageBreak/>
              <w:t>August 1, 2025.</w:t>
            </w:r>
          </w:p>
        </w:tc>
      </w:tr>
      <w:tr w:rsidR="00164B1E" w:rsidRPr="00E72358" w14:paraId="33EC9A89" w14:textId="383C6CC2" w:rsidTr="00693D24">
        <w:trPr>
          <w:trHeight w:val="20"/>
        </w:trPr>
        <w:tc>
          <w:tcPr>
            <w:tcW w:w="232" w:type="pct"/>
          </w:tcPr>
          <w:p w14:paraId="24040EEC" w14:textId="77777777" w:rsidR="006608EA" w:rsidRPr="00E72358"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4ABD3A04" w14:textId="7E4BC382" w:rsidR="006608EA" w:rsidRPr="00E72358" w:rsidRDefault="006608EA"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 Clauses 4 &amp; 20</w:t>
            </w:r>
          </w:p>
        </w:tc>
        <w:tc>
          <w:tcPr>
            <w:tcW w:w="1437" w:type="pct"/>
          </w:tcPr>
          <w:p w14:paraId="586793D4" w14:textId="22159C9A"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“4. </w:t>
            </w:r>
            <w:r w:rsidRPr="00E72358">
              <w:rPr>
                <w:rFonts w:cs="Times New Roman"/>
                <w:i/>
                <w:iCs/>
                <w:color w:val="000000" w:themeColor="text1"/>
                <w:sz w:val="22"/>
              </w:rPr>
              <w:t>Voting equity</w:t>
            </w:r>
            <w:r w:rsidRPr="00E72358">
              <w:rPr>
                <w:rFonts w:cs="Times New Roman"/>
                <w:color w:val="000000" w:themeColor="text1"/>
                <w:sz w:val="22"/>
              </w:rPr>
              <w:t xml:space="preserve">” refers to owner’s equity which the owner has voting rights for the issues under the authority of the General Meeting of Shareholders; </w:t>
            </w:r>
          </w:p>
          <w:p w14:paraId="189F06D5" w14:textId="0936A8A1"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“20. </w:t>
            </w:r>
            <w:r w:rsidRPr="00E72358">
              <w:rPr>
                <w:rFonts w:cs="Times New Roman"/>
                <w:i/>
                <w:iCs/>
                <w:color w:val="000000" w:themeColor="text1"/>
                <w:sz w:val="22"/>
              </w:rPr>
              <w:t>Voting equity</w:t>
            </w:r>
            <w:r w:rsidRPr="00E72358">
              <w:rPr>
                <w:rFonts w:cs="Times New Roman"/>
                <w:color w:val="000000" w:themeColor="text1"/>
                <w:sz w:val="22"/>
              </w:rPr>
              <w:t>” refers to owner’s contributed capital or shares which the owner has voting rights for the issues under the authority of the General Meeting of Shareholders.</w:t>
            </w:r>
          </w:p>
        </w:tc>
        <w:tc>
          <w:tcPr>
            <w:tcW w:w="1490" w:type="pct"/>
          </w:tcPr>
          <w:p w14:paraId="50FB3567" w14:textId="5D9E209E"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i/>
                <w:color w:val="000000" w:themeColor="text1"/>
                <w:sz w:val="22"/>
              </w:rPr>
              <w:t xml:space="preserve">“4. </w:t>
            </w:r>
            <w:r w:rsidRPr="00E72358">
              <w:rPr>
                <w:rFonts w:cs="Times New Roman"/>
                <w:i/>
                <w:iCs/>
                <w:color w:val="000000" w:themeColor="text1"/>
                <w:sz w:val="22"/>
              </w:rPr>
              <w:t>Voting equity</w:t>
            </w:r>
            <w:r w:rsidRPr="00E72358">
              <w:rPr>
                <w:rFonts w:cs="Times New Roman"/>
                <w:color w:val="000000" w:themeColor="text1"/>
                <w:sz w:val="22"/>
              </w:rPr>
              <w:t xml:space="preserve">” </w:t>
            </w:r>
            <w:r w:rsidRPr="00E72358">
              <w:rPr>
                <w:rFonts w:cs="Times New Roman"/>
                <w:color w:val="000000" w:themeColor="text1"/>
                <w:sz w:val="22"/>
                <w:u w:val="single"/>
              </w:rPr>
              <w:t xml:space="preserve">refers to a share </w:t>
            </w:r>
            <w:r w:rsidRPr="00E72358">
              <w:rPr>
                <w:rFonts w:cs="Times New Roman"/>
                <w:color w:val="000000" w:themeColor="text1"/>
                <w:sz w:val="22"/>
              </w:rPr>
              <w:t>which the owner has voting rights for the issues under the authority of the General Meeting of Shareholders;</w:t>
            </w:r>
          </w:p>
        </w:tc>
        <w:tc>
          <w:tcPr>
            <w:tcW w:w="1277" w:type="pct"/>
          </w:tcPr>
          <w:p w14:paraId="23FA4366" w14:textId="73060EFF"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Amend the definitions at clause 4: </w:t>
            </w:r>
            <w:r w:rsidRPr="00E72358">
              <w:rPr>
                <w:rFonts w:cs="Times New Roman"/>
                <w:i/>
                <w:color w:val="000000" w:themeColor="text1"/>
                <w:sz w:val="22"/>
              </w:rPr>
              <w:t xml:space="preserve">“4. Voting equity </w:t>
            </w:r>
            <w:r w:rsidRPr="00E72358">
              <w:rPr>
                <w:rFonts w:cs="Times New Roman"/>
                <w:i/>
                <w:color w:val="000000" w:themeColor="text1"/>
                <w:sz w:val="22"/>
                <w:u w:val="single"/>
              </w:rPr>
              <w:t>refers to a share</w:t>
            </w:r>
            <w:r w:rsidRPr="00E72358">
              <w:rPr>
                <w:rFonts w:cs="Times New Roman"/>
                <w:i/>
                <w:color w:val="000000" w:themeColor="text1"/>
                <w:sz w:val="22"/>
              </w:rPr>
              <w:t>...</w:t>
            </w:r>
            <w:proofErr w:type="gramStart"/>
            <w:r w:rsidRPr="00E72358">
              <w:rPr>
                <w:rFonts w:cs="Times New Roman"/>
                <w:i/>
                <w:color w:val="000000" w:themeColor="text1"/>
                <w:sz w:val="22"/>
              </w:rPr>
              <w:t>”.</w:t>
            </w:r>
            <w:proofErr w:type="gramEnd"/>
            <w:r w:rsidRPr="00E72358">
              <w:rPr>
                <w:rFonts w:cs="Times New Roman"/>
                <w:color w:val="000000" w:themeColor="text1"/>
                <w:sz w:val="22"/>
              </w:rPr>
              <w:t xml:space="preserve"> </w:t>
            </w:r>
          </w:p>
          <w:p w14:paraId="0A6F70C8" w14:textId="5264C5F3"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Remove clause 20, Article 1 of the 2025 Charter as the contents are identical to that of clause 4 of the same Article.</w:t>
            </w:r>
          </w:p>
          <w:p w14:paraId="3C8E234A" w14:textId="269A1F2C"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p>
        </w:tc>
      </w:tr>
      <w:tr w:rsidR="00164B1E" w:rsidRPr="00E72358" w14:paraId="770E9E20" w14:textId="19EC9CAA" w:rsidTr="00693D24">
        <w:trPr>
          <w:trHeight w:val="20"/>
        </w:trPr>
        <w:tc>
          <w:tcPr>
            <w:tcW w:w="232" w:type="pct"/>
          </w:tcPr>
          <w:p w14:paraId="16F14CA5" w14:textId="77777777" w:rsidR="006608EA" w:rsidRPr="00E72358"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4216055F" w14:textId="5C82846F" w:rsidR="006608EA" w:rsidRPr="00E72358" w:rsidRDefault="006608EA"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 Clause 15</w:t>
            </w:r>
          </w:p>
        </w:tc>
        <w:tc>
          <w:tcPr>
            <w:tcW w:w="1437" w:type="pct"/>
          </w:tcPr>
          <w:p w14:paraId="61D8E686" w14:textId="77777777"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i/>
                <w:color w:val="000000" w:themeColor="text1"/>
                <w:sz w:val="22"/>
              </w:rPr>
              <w:t xml:space="preserve">“Dividend” </w:t>
            </w:r>
            <w:r w:rsidRPr="00E72358">
              <w:rPr>
                <w:rFonts w:cs="Times New Roman"/>
                <w:color w:val="000000" w:themeColor="text1"/>
                <w:sz w:val="22"/>
              </w:rPr>
              <w:t xml:space="preserve">refers to the net profit paid for each share in cash or other assets from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remaining profit after fulfilling the financial obligations.</w:t>
            </w:r>
          </w:p>
        </w:tc>
        <w:tc>
          <w:tcPr>
            <w:tcW w:w="1490" w:type="pct"/>
          </w:tcPr>
          <w:p w14:paraId="59109ACA" w14:textId="749BE812" w:rsidR="006608EA" w:rsidRPr="00E72358" w:rsidRDefault="001128C1"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16. “</w:t>
            </w:r>
            <w:r w:rsidRPr="00E72358">
              <w:rPr>
                <w:rFonts w:cs="Times New Roman"/>
                <w:i/>
                <w:color w:val="000000" w:themeColor="text1"/>
                <w:sz w:val="22"/>
              </w:rPr>
              <w:t>Dividend</w:t>
            </w:r>
            <w:r w:rsidRPr="00E72358">
              <w:rPr>
                <w:rFonts w:cs="Times New Roman"/>
                <w:color w:val="000000" w:themeColor="text1"/>
                <w:sz w:val="22"/>
              </w:rPr>
              <w:t xml:space="preserve">” refers to the </w:t>
            </w:r>
            <w:r w:rsidRPr="00E72358">
              <w:rPr>
                <w:rFonts w:cs="Times New Roman"/>
                <w:color w:val="000000" w:themeColor="text1"/>
                <w:sz w:val="22"/>
                <w:u w:val="single"/>
              </w:rPr>
              <w:t xml:space="preserve">retained </w:t>
            </w:r>
            <w:r w:rsidRPr="00E72358">
              <w:rPr>
                <w:rFonts w:cs="Times New Roman"/>
                <w:color w:val="000000" w:themeColor="text1"/>
                <w:sz w:val="22"/>
              </w:rPr>
              <w:t>profits paid for each share in cash or other assets.</w:t>
            </w:r>
          </w:p>
        </w:tc>
        <w:tc>
          <w:tcPr>
            <w:tcW w:w="1277" w:type="pct"/>
          </w:tcPr>
          <w:p w14:paraId="6D0F17BD" w14:textId="750B1DB9"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Amend to be well matched with Article 1, clause 1, point a of the amended 2025 Law on Enterprises.</w:t>
            </w:r>
          </w:p>
        </w:tc>
      </w:tr>
      <w:tr w:rsidR="00164B1E" w:rsidRPr="00E72358" w14:paraId="006B9AC7" w14:textId="77777777" w:rsidTr="00693D24">
        <w:trPr>
          <w:trHeight w:val="20"/>
        </w:trPr>
        <w:tc>
          <w:tcPr>
            <w:tcW w:w="232" w:type="pct"/>
          </w:tcPr>
          <w:p w14:paraId="4541D984" w14:textId="77777777" w:rsidR="006608EA" w:rsidRPr="00E72358"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0A4266E9" w14:textId="5B5ED1F8" w:rsidR="006608EA" w:rsidRPr="00E72358" w:rsidRDefault="006608EA"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 Clause 17</w:t>
            </w:r>
          </w:p>
        </w:tc>
        <w:tc>
          <w:tcPr>
            <w:tcW w:w="1437" w:type="pct"/>
          </w:tcPr>
          <w:p w14:paraId="3072B6D6" w14:textId="5FA9F461" w:rsidR="006608EA" w:rsidRPr="00E72358" w:rsidRDefault="006608EA"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w:t>
            </w:r>
            <w:r w:rsidRPr="00E72358">
              <w:rPr>
                <w:rFonts w:cs="Times New Roman"/>
                <w:i/>
                <w:color w:val="000000" w:themeColor="text1"/>
                <w:sz w:val="22"/>
              </w:rPr>
              <w:t>Fair market value of contributed capital or shares</w:t>
            </w:r>
            <w:r w:rsidRPr="00E72358">
              <w:rPr>
                <w:rFonts w:cs="Times New Roman"/>
                <w:color w:val="000000" w:themeColor="text1"/>
                <w:sz w:val="22"/>
              </w:rPr>
              <w:t>” refers to the transaction price at the market as of previous date, a price agreed by and between seller and buyer or a rate fixed by a valuation organization.</w:t>
            </w:r>
          </w:p>
        </w:tc>
        <w:tc>
          <w:tcPr>
            <w:tcW w:w="1490" w:type="pct"/>
          </w:tcPr>
          <w:p w14:paraId="3BDD0071" w14:textId="02151DCE" w:rsidR="006608EA" w:rsidRPr="00E72358" w:rsidRDefault="006608EA"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Remove clause 17, Article 1 of the 2025 Charter. </w:t>
            </w:r>
          </w:p>
        </w:tc>
        <w:tc>
          <w:tcPr>
            <w:tcW w:w="1277" w:type="pct"/>
          </w:tcPr>
          <w:p w14:paraId="2866BA95" w14:textId="0A74CACD"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The concept “</w:t>
            </w:r>
            <w:r w:rsidRPr="00E72358">
              <w:rPr>
                <w:rFonts w:cs="Times New Roman"/>
                <w:i/>
                <w:iCs/>
                <w:color w:val="000000" w:themeColor="text1"/>
                <w:sz w:val="22"/>
              </w:rPr>
              <w:t>Fair market value of contributed capital or shares</w:t>
            </w:r>
            <w:r w:rsidRPr="00E72358">
              <w:rPr>
                <w:rFonts w:cs="Times New Roman"/>
                <w:color w:val="000000" w:themeColor="text1"/>
                <w:sz w:val="22"/>
              </w:rPr>
              <w:t>” is not used in the Charter.</w:t>
            </w:r>
          </w:p>
        </w:tc>
      </w:tr>
      <w:tr w:rsidR="00164B1E" w:rsidRPr="00E72358" w14:paraId="0400B0BF" w14:textId="77777777" w:rsidTr="00693D24">
        <w:trPr>
          <w:trHeight w:val="20"/>
        </w:trPr>
        <w:tc>
          <w:tcPr>
            <w:tcW w:w="232" w:type="pct"/>
          </w:tcPr>
          <w:p w14:paraId="1879D26E" w14:textId="77777777" w:rsidR="00C736AA" w:rsidRPr="00E72358" w:rsidRDefault="00C736AA"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148A8AD3" w14:textId="6FD5BDC6" w:rsidR="00C736AA" w:rsidRPr="00E72358" w:rsidRDefault="00C736AA"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w:t>
            </w:r>
          </w:p>
        </w:tc>
        <w:tc>
          <w:tcPr>
            <w:tcW w:w="1437" w:type="pct"/>
          </w:tcPr>
          <w:p w14:paraId="21FC715C" w14:textId="6448FE60" w:rsidR="00C736AA" w:rsidRPr="00E72358" w:rsidRDefault="00C736AA"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Not specified</w:t>
            </w:r>
          </w:p>
        </w:tc>
        <w:tc>
          <w:tcPr>
            <w:tcW w:w="1490" w:type="pct"/>
          </w:tcPr>
          <w:p w14:paraId="6C958C71" w14:textId="3AC2B61F" w:rsidR="00C736AA" w:rsidRPr="00E72358" w:rsidRDefault="00C736AA" w:rsidP="004608DF">
            <w:pPr>
              <w:widowControl w:val="0"/>
              <w:adjustRightInd w:val="0"/>
              <w:snapToGrid w:val="0"/>
              <w:spacing w:before="60" w:after="60" w:line="288" w:lineRule="auto"/>
              <w:jc w:val="both"/>
              <w:rPr>
                <w:rFonts w:cs="Times New Roman"/>
                <w:bCs/>
                <w:color w:val="000000" w:themeColor="text1"/>
                <w:sz w:val="22"/>
              </w:rPr>
            </w:pPr>
            <w:r w:rsidRPr="00E72358">
              <w:rPr>
                <w:rFonts w:cs="Times New Roman"/>
                <w:color w:val="000000" w:themeColor="text1"/>
                <w:sz w:val="22"/>
              </w:rPr>
              <w:t xml:space="preserve">26. </w:t>
            </w:r>
            <w:r w:rsidRPr="00E72358">
              <w:rPr>
                <w:rFonts w:cs="Times New Roman"/>
                <w:i/>
                <w:color w:val="000000" w:themeColor="text1"/>
                <w:sz w:val="22"/>
              </w:rPr>
              <w:t>“</w:t>
            </w:r>
            <w:proofErr w:type="spellStart"/>
            <w:r w:rsidRPr="00E72358">
              <w:rPr>
                <w:rFonts w:cs="Times New Roman"/>
                <w:i/>
                <w:color w:val="000000" w:themeColor="text1"/>
                <w:sz w:val="22"/>
              </w:rPr>
              <w:t>Petrolimex’s</w:t>
            </w:r>
            <w:proofErr w:type="spellEnd"/>
            <w:r w:rsidRPr="00E72358">
              <w:rPr>
                <w:rFonts w:cs="Times New Roman"/>
                <w:i/>
                <w:color w:val="000000" w:themeColor="text1"/>
                <w:sz w:val="22"/>
              </w:rPr>
              <w:t xml:space="preserve"> Internal Governance Regulations”</w:t>
            </w:r>
            <w:r w:rsidRPr="00E72358">
              <w:rPr>
                <w:rFonts w:cs="Times New Roman"/>
                <w:color w:val="000000" w:themeColor="text1"/>
                <w:sz w:val="22"/>
              </w:rPr>
              <w:t xml:space="preserve"> refer to the internal </w:t>
            </w:r>
            <w:r w:rsidRPr="00E72358">
              <w:rPr>
                <w:rFonts w:cs="Times New Roman"/>
                <w:color w:val="000000" w:themeColor="text1"/>
                <w:sz w:val="22"/>
              </w:rPr>
              <w:lastRenderedPageBreak/>
              <w:t xml:space="preserve">regulations governing roles, rights and obligations of the General Meeting of Shareholders, the Board of Management, General Director; proceedings and procedures of the General Meeting of Shareholders; nominating, standing for election, election, dismissal, and removal of members of the Board of Management, the Supervisory Board, and the General Director, as well as other activities as prescribed in this Charter and other applicable </w:t>
            </w:r>
            <w:r w:rsidR="00EB46DD" w:rsidRPr="00E72358">
              <w:rPr>
                <w:rFonts w:cs="Times New Roman"/>
                <w:color w:val="000000" w:themeColor="text1"/>
                <w:sz w:val="22"/>
              </w:rPr>
              <w:t>provisions of law</w:t>
            </w:r>
            <w:r w:rsidRPr="00E72358">
              <w:rPr>
                <w:rFonts w:cs="Times New Roman"/>
                <w:color w:val="000000" w:themeColor="text1"/>
                <w:sz w:val="22"/>
              </w:rPr>
              <w:t>.</w:t>
            </w:r>
          </w:p>
        </w:tc>
        <w:tc>
          <w:tcPr>
            <w:tcW w:w="1277" w:type="pct"/>
          </w:tcPr>
          <w:p w14:paraId="18DA5B84" w14:textId="224E8021" w:rsidR="00C736AA" w:rsidRPr="00E72358" w:rsidRDefault="00C736AA" w:rsidP="004608DF">
            <w:pPr>
              <w:widowControl w:val="0"/>
              <w:adjustRightInd w:val="0"/>
              <w:snapToGrid w:val="0"/>
              <w:spacing w:before="60" w:after="60" w:line="288" w:lineRule="auto"/>
              <w:jc w:val="both"/>
              <w:rPr>
                <w:rFonts w:cs="Times New Roman"/>
                <w:color w:val="000000" w:themeColor="text1"/>
                <w:sz w:val="22"/>
              </w:rPr>
            </w:pPr>
            <w:r w:rsidRPr="00E72358">
              <w:rPr>
                <w:rFonts w:cs="Times New Roman"/>
                <w:color w:val="000000" w:themeColor="text1"/>
                <w:sz w:val="22"/>
              </w:rPr>
              <w:lastRenderedPageBreak/>
              <w:t xml:space="preserve">Need to supplement the definitions on this Regulation as this term is </w:t>
            </w:r>
            <w:r w:rsidRPr="00E72358">
              <w:rPr>
                <w:rFonts w:cs="Times New Roman"/>
                <w:color w:val="000000" w:themeColor="text1"/>
                <w:sz w:val="22"/>
              </w:rPr>
              <w:lastRenderedPageBreak/>
              <w:t>repeatedly used in the Charter.</w:t>
            </w:r>
          </w:p>
          <w:p w14:paraId="4039C9D4" w14:textId="0BF58B1B" w:rsidR="00C736AA" w:rsidRPr="00E72358" w:rsidRDefault="00C736AA" w:rsidP="004608DF">
            <w:pPr>
              <w:widowControl w:val="0"/>
              <w:adjustRightInd w:val="0"/>
              <w:snapToGrid w:val="0"/>
              <w:spacing w:before="60" w:after="60" w:line="288" w:lineRule="auto"/>
              <w:jc w:val="both"/>
              <w:rPr>
                <w:rFonts w:cs="Times New Roman"/>
                <w:color w:val="000000" w:themeColor="text1"/>
                <w:sz w:val="22"/>
              </w:rPr>
            </w:pPr>
            <w:r w:rsidRPr="00E72358">
              <w:rPr>
                <w:rFonts w:cs="Times New Roman"/>
                <w:color w:val="000000" w:themeColor="text1"/>
                <w:sz w:val="22"/>
              </w:rPr>
              <w:t xml:space="preserve">This concept is sourced from Internal Governance Regulation Form issued under the Circular No. 116/2020/TT-BTC (Appendix II, Article 1, </w:t>
            </w:r>
            <w:proofErr w:type="gramStart"/>
            <w:r w:rsidRPr="00E72358">
              <w:rPr>
                <w:rFonts w:cs="Times New Roman"/>
                <w:color w:val="000000" w:themeColor="text1"/>
                <w:sz w:val="22"/>
              </w:rPr>
              <w:t>Clause</w:t>
            </w:r>
            <w:proofErr w:type="gramEnd"/>
            <w:r w:rsidRPr="00E72358">
              <w:rPr>
                <w:rFonts w:cs="Times New Roman"/>
                <w:color w:val="000000" w:themeColor="text1"/>
                <w:sz w:val="22"/>
              </w:rPr>
              <w:t xml:space="preserve"> 1).</w:t>
            </w:r>
          </w:p>
        </w:tc>
      </w:tr>
      <w:tr w:rsidR="00164B1E" w:rsidRPr="00E72358" w14:paraId="2902C5EF" w14:textId="77777777" w:rsidTr="00693D24">
        <w:trPr>
          <w:trHeight w:val="20"/>
        </w:trPr>
        <w:tc>
          <w:tcPr>
            <w:tcW w:w="232" w:type="pct"/>
          </w:tcPr>
          <w:p w14:paraId="6BBFF311" w14:textId="77777777" w:rsidR="00C736AA" w:rsidRPr="00E72358" w:rsidRDefault="00C736AA"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3DDCCC09" w14:textId="6E270314" w:rsidR="00C736AA" w:rsidRPr="00E72358" w:rsidRDefault="00761652"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w:t>
            </w:r>
          </w:p>
        </w:tc>
        <w:tc>
          <w:tcPr>
            <w:tcW w:w="1437" w:type="pct"/>
          </w:tcPr>
          <w:p w14:paraId="5A8C4EA8" w14:textId="6CA3C2DD" w:rsidR="00C736AA" w:rsidRPr="00E72358" w:rsidRDefault="00761652"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Not specified</w:t>
            </w:r>
          </w:p>
        </w:tc>
        <w:tc>
          <w:tcPr>
            <w:tcW w:w="1490" w:type="pct"/>
          </w:tcPr>
          <w:p w14:paraId="53B2779E" w14:textId="7C1B4A2A" w:rsidR="00C736AA" w:rsidRPr="00E72358" w:rsidRDefault="00761652" w:rsidP="004608DF">
            <w:pPr>
              <w:widowControl w:val="0"/>
              <w:adjustRightInd w:val="0"/>
              <w:snapToGrid w:val="0"/>
              <w:spacing w:before="60" w:after="60" w:line="288" w:lineRule="auto"/>
              <w:jc w:val="both"/>
              <w:rPr>
                <w:rFonts w:cs="Times New Roman"/>
                <w:bCs/>
                <w:color w:val="000000" w:themeColor="text1"/>
                <w:sz w:val="22"/>
              </w:rPr>
            </w:pPr>
            <w:r w:rsidRPr="00E72358">
              <w:rPr>
                <w:rFonts w:cs="Times New Roman"/>
                <w:color w:val="000000" w:themeColor="text1"/>
                <w:sz w:val="22"/>
              </w:rPr>
              <w:t>27. “</w:t>
            </w:r>
            <w:r w:rsidR="003B2ED5" w:rsidRPr="00E72358">
              <w:rPr>
                <w:rFonts w:cs="Times New Roman"/>
                <w:i/>
                <w:color w:val="000000" w:themeColor="text1"/>
                <w:sz w:val="22"/>
              </w:rPr>
              <w:t>Operation Regulation</w:t>
            </w:r>
            <w:r w:rsidRPr="00E72358">
              <w:rPr>
                <w:rFonts w:cs="Times New Roman"/>
                <w:i/>
                <w:color w:val="000000" w:themeColor="text1"/>
                <w:sz w:val="22"/>
              </w:rPr>
              <w:t>s of the Board of Management”</w:t>
            </w:r>
            <w:r w:rsidRPr="00E72358">
              <w:rPr>
                <w:rFonts w:cs="Times New Roman"/>
                <w:color w:val="000000" w:themeColor="text1"/>
                <w:sz w:val="22"/>
              </w:rPr>
              <w:t xml:space="preserve"> refer to the internal regulations, governing the organizational structure, operating principles, rights and obligations of the Board of Management and members of the Board of Management to operate in accordance with the Law on Enterprises, this Charter and other regulations of the relevant laws.</w:t>
            </w:r>
          </w:p>
        </w:tc>
        <w:tc>
          <w:tcPr>
            <w:tcW w:w="1277" w:type="pct"/>
          </w:tcPr>
          <w:p w14:paraId="17606B09" w14:textId="47BFB090" w:rsidR="000D62E5" w:rsidRPr="00E72358" w:rsidRDefault="000D62E5" w:rsidP="004608DF">
            <w:pPr>
              <w:widowControl w:val="0"/>
              <w:adjustRightInd w:val="0"/>
              <w:snapToGrid w:val="0"/>
              <w:spacing w:before="60" w:after="60" w:line="288" w:lineRule="auto"/>
              <w:jc w:val="both"/>
              <w:rPr>
                <w:rFonts w:cs="Times New Roman"/>
                <w:color w:val="000000" w:themeColor="text1"/>
                <w:sz w:val="22"/>
              </w:rPr>
            </w:pPr>
            <w:r w:rsidRPr="00E72358">
              <w:rPr>
                <w:rFonts w:cs="Times New Roman"/>
                <w:color w:val="000000" w:themeColor="text1"/>
                <w:sz w:val="22"/>
              </w:rPr>
              <w:t>Need to supplement the definitions on this Regulation as this term is repeatedly used in the Charter.</w:t>
            </w:r>
          </w:p>
          <w:p w14:paraId="00A3DA85" w14:textId="7DFA8545" w:rsidR="00C736AA" w:rsidRPr="00E72358" w:rsidRDefault="000D62E5" w:rsidP="004608DF">
            <w:pPr>
              <w:widowControl w:val="0"/>
              <w:adjustRightInd w:val="0"/>
              <w:snapToGrid w:val="0"/>
              <w:spacing w:before="60" w:after="60" w:line="288" w:lineRule="auto"/>
              <w:jc w:val="both"/>
              <w:rPr>
                <w:rFonts w:cs="Times New Roman"/>
                <w:color w:val="000000" w:themeColor="text1"/>
                <w:sz w:val="22"/>
              </w:rPr>
            </w:pPr>
            <w:r w:rsidRPr="00E72358">
              <w:rPr>
                <w:rFonts w:cs="Times New Roman"/>
                <w:color w:val="000000" w:themeColor="text1"/>
                <w:sz w:val="22"/>
              </w:rPr>
              <w:t xml:space="preserve">This concept is sourced from the Organization and Operation Regulation of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Board of Management, issued under the Decision No. 219/PLX-Q</w:t>
            </w:r>
            <w:r w:rsidR="00C74071" w:rsidRPr="00E72358">
              <w:rPr>
                <w:rFonts w:cs="Times New Roman"/>
                <w:color w:val="000000" w:themeColor="text1"/>
                <w:sz w:val="22"/>
              </w:rPr>
              <w:t>D</w:t>
            </w:r>
            <w:r w:rsidRPr="00E72358">
              <w:rPr>
                <w:rFonts w:cs="Times New Roman"/>
                <w:color w:val="000000" w:themeColor="text1"/>
                <w:sz w:val="22"/>
              </w:rPr>
              <w:t>-H</w:t>
            </w:r>
            <w:r w:rsidR="00C74071" w:rsidRPr="00E72358">
              <w:rPr>
                <w:rFonts w:cs="Times New Roman"/>
                <w:color w:val="000000" w:themeColor="text1"/>
                <w:sz w:val="22"/>
              </w:rPr>
              <w:t>D</w:t>
            </w:r>
            <w:r w:rsidRPr="00E72358">
              <w:rPr>
                <w:rFonts w:cs="Times New Roman"/>
                <w:color w:val="000000" w:themeColor="text1"/>
                <w:sz w:val="22"/>
              </w:rPr>
              <w:t xml:space="preserve">QT of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Board of Management dated April 29, 2021 (Article 1, Clause 1).</w:t>
            </w:r>
          </w:p>
        </w:tc>
      </w:tr>
      <w:tr w:rsidR="00164B1E" w:rsidRPr="00E72358" w14:paraId="488A8575" w14:textId="77777777" w:rsidTr="00693D24">
        <w:trPr>
          <w:trHeight w:val="20"/>
        </w:trPr>
        <w:tc>
          <w:tcPr>
            <w:tcW w:w="232" w:type="pct"/>
          </w:tcPr>
          <w:p w14:paraId="0A25AE6A" w14:textId="77777777" w:rsidR="00F327D1" w:rsidRPr="00E72358" w:rsidRDefault="00F327D1"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62A0DCD7" w14:textId="53D22BAC" w:rsidR="00F327D1" w:rsidRPr="00E72358" w:rsidRDefault="00C251B7"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w:t>
            </w:r>
          </w:p>
        </w:tc>
        <w:tc>
          <w:tcPr>
            <w:tcW w:w="1437" w:type="pct"/>
          </w:tcPr>
          <w:p w14:paraId="5045171F" w14:textId="4D1CBFE1" w:rsidR="00F327D1" w:rsidRPr="00E72358" w:rsidRDefault="00C251B7"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Not specified</w:t>
            </w:r>
          </w:p>
        </w:tc>
        <w:tc>
          <w:tcPr>
            <w:tcW w:w="1490" w:type="pct"/>
          </w:tcPr>
          <w:p w14:paraId="0594D323" w14:textId="1D43232B" w:rsidR="00F327D1" w:rsidRPr="00E72358" w:rsidRDefault="00091988" w:rsidP="004608DF">
            <w:pPr>
              <w:widowControl w:val="0"/>
              <w:adjustRightInd w:val="0"/>
              <w:snapToGrid w:val="0"/>
              <w:spacing w:before="60" w:after="60" w:line="288" w:lineRule="auto"/>
              <w:jc w:val="both"/>
              <w:rPr>
                <w:rFonts w:cs="Times New Roman"/>
                <w:bCs/>
                <w:color w:val="000000" w:themeColor="text1"/>
                <w:sz w:val="22"/>
              </w:rPr>
            </w:pPr>
            <w:r w:rsidRPr="00E72358">
              <w:rPr>
                <w:rFonts w:cs="Times New Roman"/>
                <w:color w:val="000000" w:themeColor="text1"/>
                <w:sz w:val="22"/>
              </w:rPr>
              <w:t>28. “</w:t>
            </w:r>
            <w:r w:rsidR="003B2ED5" w:rsidRPr="00E72358">
              <w:rPr>
                <w:rFonts w:cs="Times New Roman"/>
                <w:i/>
                <w:iCs/>
                <w:color w:val="000000" w:themeColor="text1"/>
                <w:sz w:val="22"/>
              </w:rPr>
              <w:t>Operation Regulation</w:t>
            </w:r>
            <w:r w:rsidRPr="00E72358">
              <w:rPr>
                <w:rFonts w:cs="Times New Roman"/>
                <w:i/>
                <w:iCs/>
                <w:color w:val="000000" w:themeColor="text1"/>
                <w:sz w:val="22"/>
              </w:rPr>
              <w:t>s of the Supervisory Board</w:t>
            </w:r>
            <w:r w:rsidRPr="00E72358">
              <w:rPr>
                <w:rFonts w:cs="Times New Roman"/>
                <w:color w:val="000000" w:themeColor="text1"/>
                <w:sz w:val="22"/>
              </w:rPr>
              <w:t xml:space="preserve">” refer to the internal regulations, governing the organizational structure, human resources, qualifications, conditions, rights, obligations and </w:t>
            </w:r>
            <w:r w:rsidRPr="00E72358">
              <w:rPr>
                <w:rFonts w:cs="Times New Roman"/>
                <w:color w:val="000000" w:themeColor="text1"/>
                <w:sz w:val="22"/>
              </w:rPr>
              <w:lastRenderedPageBreak/>
              <w:t>operating principles of the Supervisory Board and Supervisors as prescribed in the Law on Enterprises, this Charter and other relevant regulations.</w:t>
            </w:r>
          </w:p>
        </w:tc>
        <w:tc>
          <w:tcPr>
            <w:tcW w:w="1277" w:type="pct"/>
          </w:tcPr>
          <w:p w14:paraId="5EEB283C" w14:textId="0CBE9249" w:rsidR="00C251B7" w:rsidRPr="00E72358" w:rsidRDefault="00C251B7" w:rsidP="004608DF">
            <w:pPr>
              <w:widowControl w:val="0"/>
              <w:adjustRightInd w:val="0"/>
              <w:snapToGrid w:val="0"/>
              <w:spacing w:before="60" w:after="60" w:line="288" w:lineRule="auto"/>
              <w:jc w:val="both"/>
              <w:rPr>
                <w:rFonts w:cs="Times New Roman"/>
                <w:color w:val="000000" w:themeColor="text1"/>
                <w:sz w:val="22"/>
              </w:rPr>
            </w:pPr>
            <w:r w:rsidRPr="00E72358">
              <w:rPr>
                <w:rFonts w:cs="Times New Roman"/>
                <w:color w:val="000000" w:themeColor="text1"/>
                <w:sz w:val="22"/>
              </w:rPr>
              <w:lastRenderedPageBreak/>
              <w:t>Need to supplement the definitions on this Regulation as this term is repeatedly used in the Charter.</w:t>
            </w:r>
          </w:p>
          <w:p w14:paraId="39749525" w14:textId="726381FB" w:rsidR="00F327D1" w:rsidRPr="00E72358" w:rsidRDefault="00C251B7" w:rsidP="004608DF">
            <w:pPr>
              <w:widowControl w:val="0"/>
              <w:adjustRightInd w:val="0"/>
              <w:snapToGrid w:val="0"/>
              <w:spacing w:before="60" w:after="60" w:line="288" w:lineRule="auto"/>
              <w:jc w:val="both"/>
              <w:rPr>
                <w:rFonts w:cs="Times New Roman"/>
                <w:color w:val="000000" w:themeColor="text1"/>
                <w:sz w:val="22"/>
              </w:rPr>
            </w:pPr>
            <w:r w:rsidRPr="00E72358">
              <w:rPr>
                <w:rFonts w:cs="Times New Roman"/>
                <w:color w:val="000000" w:themeColor="text1"/>
                <w:sz w:val="22"/>
              </w:rPr>
              <w:t xml:space="preserve">This concept is sourced from the </w:t>
            </w:r>
            <w:r w:rsidR="003B2ED5" w:rsidRPr="00E72358">
              <w:rPr>
                <w:rFonts w:cs="Times New Roman"/>
                <w:color w:val="000000" w:themeColor="text1"/>
                <w:sz w:val="22"/>
              </w:rPr>
              <w:t>Operation Regulation</w:t>
            </w:r>
            <w:r w:rsidRPr="00E72358">
              <w:rPr>
                <w:rFonts w:cs="Times New Roman"/>
                <w:color w:val="000000" w:themeColor="text1"/>
                <w:sz w:val="22"/>
              </w:rPr>
              <w:t xml:space="preserve">s of the </w:t>
            </w:r>
            <w:proofErr w:type="spellStart"/>
            <w:r w:rsidRPr="00E72358">
              <w:rPr>
                <w:rFonts w:cs="Times New Roman"/>
                <w:color w:val="000000" w:themeColor="text1"/>
                <w:sz w:val="22"/>
              </w:rPr>
              <w:lastRenderedPageBreak/>
              <w:t>Petrolimex’s</w:t>
            </w:r>
            <w:proofErr w:type="spellEnd"/>
            <w:r w:rsidRPr="00E72358">
              <w:rPr>
                <w:rFonts w:cs="Times New Roman"/>
                <w:color w:val="000000" w:themeColor="text1"/>
                <w:sz w:val="22"/>
              </w:rPr>
              <w:t xml:space="preserve"> Supervisory Board, issued under the Decision No. 221/PLX-Q</w:t>
            </w:r>
            <w:r w:rsidR="00C74071" w:rsidRPr="00E72358">
              <w:rPr>
                <w:rFonts w:cs="Times New Roman"/>
                <w:color w:val="000000" w:themeColor="text1"/>
                <w:sz w:val="22"/>
              </w:rPr>
              <w:t>D</w:t>
            </w:r>
            <w:r w:rsidRPr="00E72358">
              <w:rPr>
                <w:rFonts w:cs="Times New Roman"/>
                <w:color w:val="000000" w:themeColor="text1"/>
                <w:sz w:val="22"/>
              </w:rPr>
              <w:t xml:space="preserve">-BKS of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Supervisory Board dated May 04, 2021 (Article 1, Clause 1).</w:t>
            </w:r>
          </w:p>
        </w:tc>
      </w:tr>
      <w:tr w:rsidR="00164B1E" w:rsidRPr="00E72358" w14:paraId="053A643F" w14:textId="011775CB" w:rsidTr="00693D24">
        <w:trPr>
          <w:trHeight w:val="20"/>
        </w:trPr>
        <w:tc>
          <w:tcPr>
            <w:tcW w:w="232" w:type="pct"/>
          </w:tcPr>
          <w:p w14:paraId="75C39A8D" w14:textId="77777777" w:rsidR="006608EA" w:rsidRPr="00E72358"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6C0D0E7A" w14:textId="5B212D1A" w:rsidR="006608EA" w:rsidRPr="00E72358" w:rsidRDefault="006608EA"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2, Clause 2</w:t>
            </w:r>
          </w:p>
        </w:tc>
        <w:tc>
          <w:tcPr>
            <w:tcW w:w="1437" w:type="pct"/>
          </w:tcPr>
          <w:p w14:paraId="4BF156E1" w14:textId="62F9F759" w:rsidR="006608EA" w:rsidRPr="00E72358" w:rsidRDefault="004608DF" w:rsidP="00427044">
            <w:pPr>
              <w:widowControl w:val="0"/>
              <w:adjustRightInd w:val="0"/>
              <w:snapToGrid w:val="0"/>
              <w:spacing w:before="60" w:after="60" w:line="276" w:lineRule="auto"/>
              <w:rPr>
                <w:rFonts w:cs="Times New Roman"/>
                <w:bCs/>
                <w:color w:val="000000" w:themeColor="text1"/>
                <w:sz w:val="22"/>
              </w:rPr>
            </w:pPr>
            <w:r w:rsidRPr="00E72358">
              <w:rPr>
                <w:rFonts w:cs="Times New Roman"/>
                <w:b/>
                <w:noProof/>
                <w:color w:val="000000" w:themeColor="text1"/>
                <w:sz w:val="22"/>
              </w:rPr>
              <w:drawing>
                <wp:anchor distT="0" distB="0" distL="114300" distR="114300" simplePos="0" relativeHeight="251659264" behindDoc="1" locked="0" layoutInCell="1" allowOverlap="1" wp14:anchorId="6ED35581" wp14:editId="2DA53EC6">
                  <wp:simplePos x="0" y="0"/>
                  <wp:positionH relativeFrom="margin">
                    <wp:posOffset>612775</wp:posOffset>
                  </wp:positionH>
                  <wp:positionV relativeFrom="margin">
                    <wp:posOffset>162791</wp:posOffset>
                  </wp:positionV>
                  <wp:extent cx="776717" cy="734364"/>
                  <wp:effectExtent l="0" t="0" r="0" b="2540"/>
                  <wp:wrapSquare wrapText="bothSides"/>
                  <wp:docPr id="1197286254" name="Picture 119728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6717" cy="7343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ED99F" w14:textId="27DFFF5C" w:rsidR="006608EA" w:rsidRPr="00E72358" w:rsidRDefault="006608EA" w:rsidP="00427044">
            <w:pPr>
              <w:widowControl w:val="0"/>
              <w:adjustRightInd w:val="0"/>
              <w:snapToGrid w:val="0"/>
              <w:spacing w:before="60" w:after="60" w:line="276" w:lineRule="auto"/>
              <w:rPr>
                <w:rFonts w:cs="Times New Roman"/>
                <w:bCs/>
                <w:color w:val="000000" w:themeColor="text1"/>
                <w:sz w:val="22"/>
              </w:rPr>
            </w:pPr>
          </w:p>
          <w:p w14:paraId="5D0F611B" w14:textId="77777777" w:rsidR="006608EA" w:rsidRPr="00E72358" w:rsidRDefault="006608EA" w:rsidP="00427044">
            <w:pPr>
              <w:widowControl w:val="0"/>
              <w:adjustRightInd w:val="0"/>
              <w:snapToGrid w:val="0"/>
              <w:spacing w:before="60" w:after="60" w:line="276" w:lineRule="auto"/>
              <w:jc w:val="center"/>
              <w:rPr>
                <w:rFonts w:cs="Times New Roman"/>
                <w:color w:val="000000" w:themeColor="text1"/>
                <w:sz w:val="22"/>
              </w:rPr>
            </w:pPr>
          </w:p>
        </w:tc>
        <w:tc>
          <w:tcPr>
            <w:tcW w:w="1490" w:type="pct"/>
          </w:tcPr>
          <w:p w14:paraId="7B0A6BA7" w14:textId="77777777" w:rsidR="006608EA" w:rsidRPr="00E72358" w:rsidRDefault="006608EA" w:rsidP="00D17874">
            <w:pPr>
              <w:widowControl w:val="0"/>
              <w:adjustRightInd w:val="0"/>
              <w:snapToGrid w:val="0"/>
              <w:spacing w:before="60" w:after="60" w:line="288" w:lineRule="auto"/>
              <w:jc w:val="both"/>
              <w:rPr>
                <w:rFonts w:cs="Times New Roman"/>
                <w:b/>
                <w:color w:val="000000" w:themeColor="text1"/>
                <w:sz w:val="22"/>
              </w:rPr>
            </w:pPr>
            <w:proofErr w:type="spellStart"/>
            <w:r w:rsidRPr="00E72358">
              <w:rPr>
                <w:rFonts w:cs="Times New Roman"/>
                <w:b/>
                <w:color w:val="000000" w:themeColor="text1"/>
                <w:sz w:val="22"/>
              </w:rPr>
              <w:t>Petrolimex’s</w:t>
            </w:r>
            <w:proofErr w:type="spellEnd"/>
            <w:r w:rsidRPr="00E72358">
              <w:rPr>
                <w:rFonts w:cs="Times New Roman"/>
                <w:b/>
                <w:color w:val="000000" w:themeColor="text1"/>
                <w:sz w:val="22"/>
              </w:rPr>
              <w:t xml:space="preserve"> expected amendment contents:</w:t>
            </w:r>
          </w:p>
          <w:p w14:paraId="320D396D" w14:textId="58295720" w:rsidR="006608EA" w:rsidRPr="00E72358" w:rsidRDefault="003E484F" w:rsidP="00D17874">
            <w:pPr>
              <w:widowControl w:val="0"/>
              <w:adjustRightInd w:val="0"/>
              <w:snapToGrid w:val="0"/>
              <w:spacing w:before="60" w:after="60" w:line="288" w:lineRule="auto"/>
              <w:jc w:val="both"/>
              <w:rPr>
                <w:rFonts w:cs="Times New Roman"/>
                <w:bCs/>
                <w:color w:val="000000" w:themeColor="text1"/>
                <w:sz w:val="22"/>
              </w:rPr>
            </w:pPr>
            <w:r w:rsidRPr="00E72358">
              <w:rPr>
                <w:rFonts w:cs="Times New Roman"/>
                <w:color w:val="000000" w:themeColor="text1"/>
                <w:sz w:val="22"/>
              </w:rPr>
              <w:t>Do not insert symbol to the Charter. Remove clause 2, Article 2 of the 2025 Charter.</w:t>
            </w:r>
          </w:p>
        </w:tc>
        <w:tc>
          <w:tcPr>
            <w:tcW w:w="1277" w:type="pct"/>
          </w:tcPr>
          <w:p w14:paraId="5CBE2265" w14:textId="43378772" w:rsidR="006608EA" w:rsidRPr="00E72358" w:rsidRDefault="00F1654B" w:rsidP="00D17874">
            <w:pPr>
              <w:widowControl w:val="0"/>
              <w:adjustRightInd w:val="0"/>
              <w:snapToGrid w:val="0"/>
              <w:spacing w:before="60" w:after="60" w:line="288" w:lineRule="auto"/>
              <w:jc w:val="both"/>
              <w:rPr>
                <w:rFonts w:cs="Times New Roman"/>
                <w:color w:val="000000" w:themeColor="text1"/>
                <w:sz w:val="22"/>
              </w:rPr>
            </w:pPr>
            <w:r w:rsidRPr="00E72358">
              <w:rPr>
                <w:rFonts w:cs="Times New Roman"/>
                <w:color w:val="000000" w:themeColor="text1"/>
                <w:sz w:val="22"/>
              </w:rPr>
              <w:t xml:space="preserve">The Charter Form at the Circular No. 116/2020/TT-BTC (Charter Form) does not specify it, the symbol is </w:t>
            </w:r>
            <w:r w:rsidR="007D3B25" w:rsidRPr="00E72358">
              <w:rPr>
                <w:rFonts w:cs="Times New Roman"/>
                <w:color w:val="000000" w:themeColor="text1"/>
                <w:sz w:val="22"/>
              </w:rPr>
              <w:t xml:space="preserve">not </w:t>
            </w:r>
            <w:r w:rsidRPr="00E72358">
              <w:rPr>
                <w:rFonts w:cs="Times New Roman"/>
                <w:color w:val="000000" w:themeColor="text1"/>
                <w:sz w:val="22"/>
              </w:rPr>
              <w:t>recommended to include into the Draft Charter.</w:t>
            </w:r>
          </w:p>
        </w:tc>
      </w:tr>
      <w:tr w:rsidR="00164B1E" w:rsidRPr="00E72358" w14:paraId="1F525298" w14:textId="72F13133" w:rsidTr="00693D24">
        <w:trPr>
          <w:trHeight w:val="20"/>
        </w:trPr>
        <w:tc>
          <w:tcPr>
            <w:tcW w:w="232" w:type="pct"/>
          </w:tcPr>
          <w:p w14:paraId="7CA4BB5B" w14:textId="77777777" w:rsidR="006608EA" w:rsidRPr="00E72358"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56B49ED9" w14:textId="0CCF030C" w:rsidR="006608EA" w:rsidRPr="00E72358" w:rsidRDefault="006608EA"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3, Clause 5</w:t>
            </w:r>
          </w:p>
        </w:tc>
        <w:tc>
          <w:tcPr>
            <w:tcW w:w="1437" w:type="pct"/>
          </w:tcPr>
          <w:p w14:paraId="6A3ED05C" w14:textId="77777777"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Take personal responsibility for damages incurred by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due to breach of obligations as prescribed in Clause 4 of this Article.</w:t>
            </w:r>
          </w:p>
        </w:tc>
        <w:tc>
          <w:tcPr>
            <w:tcW w:w="1490" w:type="pct"/>
          </w:tcPr>
          <w:p w14:paraId="06CC37FC" w14:textId="77777777"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The legal representative of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takes personal responsibility for damages incurred by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w:t>
            </w:r>
            <w:r w:rsidRPr="00E72358">
              <w:rPr>
                <w:rFonts w:cs="Times New Roman"/>
                <w:color w:val="000000" w:themeColor="text1"/>
                <w:sz w:val="22"/>
                <w:u w:val="single"/>
              </w:rPr>
              <w:t>as prescribed by the laws</w:t>
            </w:r>
            <w:r w:rsidRPr="00E72358">
              <w:rPr>
                <w:rFonts w:cs="Times New Roman"/>
                <w:color w:val="000000" w:themeColor="text1"/>
                <w:sz w:val="22"/>
              </w:rPr>
              <w:t xml:space="preserve"> due to violation to the obligations as prescribed in Clause 4 of this Article.</w:t>
            </w:r>
          </w:p>
        </w:tc>
        <w:tc>
          <w:tcPr>
            <w:tcW w:w="1277" w:type="pct"/>
          </w:tcPr>
          <w:p w14:paraId="638C7ADD" w14:textId="43F67C9F"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Amend to be well matched with Article 1, clause 4 of the amended 2025 Law on Enterprises.</w:t>
            </w:r>
          </w:p>
        </w:tc>
      </w:tr>
      <w:tr w:rsidR="00164B1E" w:rsidRPr="00E72358" w14:paraId="07810C74" w14:textId="59FEEC69" w:rsidTr="00693D24">
        <w:trPr>
          <w:trHeight w:val="20"/>
        </w:trPr>
        <w:tc>
          <w:tcPr>
            <w:tcW w:w="232" w:type="pct"/>
          </w:tcPr>
          <w:p w14:paraId="4DE553F7" w14:textId="77777777" w:rsidR="006608EA" w:rsidRPr="00E72358" w:rsidRDefault="006608EA"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71D2FA87" w14:textId="080C4AD8" w:rsidR="006608EA" w:rsidRPr="00E72358" w:rsidRDefault="006608EA"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4, Clause 1</w:t>
            </w:r>
          </w:p>
        </w:tc>
        <w:tc>
          <w:tcPr>
            <w:tcW w:w="2926" w:type="pct"/>
            <w:gridSpan w:val="2"/>
          </w:tcPr>
          <w:p w14:paraId="08F58029" w14:textId="42C98325" w:rsidR="006608EA" w:rsidRPr="00E72358" w:rsidRDefault="006608EA" w:rsidP="00427044">
            <w:pPr>
              <w:widowControl w:val="0"/>
              <w:adjustRightInd w:val="0"/>
              <w:snapToGrid w:val="0"/>
              <w:spacing w:before="60" w:after="60" w:line="276" w:lineRule="auto"/>
              <w:jc w:val="center"/>
              <w:rPr>
                <w:rFonts w:cs="Times New Roman"/>
                <w:bCs/>
                <w:i/>
                <w:iCs/>
                <w:color w:val="000000" w:themeColor="text1"/>
                <w:sz w:val="22"/>
              </w:rPr>
            </w:pPr>
            <w:r w:rsidRPr="00E72358">
              <w:rPr>
                <w:rFonts w:cs="Times New Roman"/>
                <w:i/>
                <w:color w:val="000000" w:themeColor="text1"/>
                <w:sz w:val="22"/>
              </w:rPr>
              <w:t xml:space="preserve">For more details, please see Appendix </w:t>
            </w:r>
            <w:proofErr w:type="spellStart"/>
            <w:r w:rsidRPr="00E72358">
              <w:rPr>
                <w:rFonts w:cs="Times New Roman"/>
                <w:i/>
                <w:color w:val="000000" w:themeColor="text1"/>
                <w:sz w:val="22"/>
              </w:rPr>
              <w:t>Ia</w:t>
            </w:r>
            <w:proofErr w:type="spellEnd"/>
          </w:p>
        </w:tc>
        <w:tc>
          <w:tcPr>
            <w:tcW w:w="1277" w:type="pct"/>
          </w:tcPr>
          <w:p w14:paraId="4D426748" w14:textId="213EB192" w:rsidR="006608EA" w:rsidRPr="00E72358" w:rsidRDefault="006608EA"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Amend to be well matched with the Decision No. 36/2025/Q</w:t>
            </w:r>
            <w:r w:rsidR="00C74071" w:rsidRPr="00E72358">
              <w:rPr>
                <w:rFonts w:cs="Times New Roman"/>
                <w:color w:val="000000" w:themeColor="text1"/>
                <w:sz w:val="22"/>
              </w:rPr>
              <w:t>D</w:t>
            </w:r>
            <w:r w:rsidRPr="00E72358">
              <w:rPr>
                <w:rFonts w:cs="Times New Roman"/>
                <w:color w:val="000000" w:themeColor="text1"/>
                <w:sz w:val="22"/>
              </w:rPr>
              <w:t>-</w:t>
            </w:r>
            <w:proofErr w:type="spellStart"/>
            <w:r w:rsidRPr="00E72358">
              <w:rPr>
                <w:rFonts w:cs="Times New Roman"/>
                <w:color w:val="000000" w:themeColor="text1"/>
                <w:sz w:val="22"/>
              </w:rPr>
              <w:t>TTg</w:t>
            </w:r>
            <w:proofErr w:type="spellEnd"/>
            <w:r w:rsidRPr="00E72358">
              <w:rPr>
                <w:rFonts w:cs="Times New Roman"/>
                <w:color w:val="000000" w:themeColor="text1"/>
                <w:sz w:val="22"/>
              </w:rPr>
              <w:t xml:space="preserve"> (Decision No. 36).</w:t>
            </w:r>
          </w:p>
        </w:tc>
      </w:tr>
      <w:tr w:rsidR="00164B1E" w:rsidRPr="00E72358" w14:paraId="2DE9D7AE" w14:textId="77777777" w:rsidTr="00693D24">
        <w:trPr>
          <w:trHeight w:val="20"/>
        </w:trPr>
        <w:tc>
          <w:tcPr>
            <w:tcW w:w="232" w:type="pct"/>
          </w:tcPr>
          <w:p w14:paraId="4DFFE86C" w14:textId="77777777" w:rsidR="00B44EE2" w:rsidRPr="00E72358" w:rsidRDefault="00B44EE2"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6D845DF5" w14:textId="2DD7DFD1" w:rsidR="00B44EE2" w:rsidRPr="00E72358" w:rsidRDefault="00B44EE2"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4, Clause 2, point c</w:t>
            </w:r>
          </w:p>
        </w:tc>
        <w:tc>
          <w:tcPr>
            <w:tcW w:w="1437" w:type="pct"/>
          </w:tcPr>
          <w:p w14:paraId="0A158155" w14:textId="5859A8A9" w:rsidR="00B44EE2" w:rsidRPr="00E72358" w:rsidRDefault="00B44EE2" w:rsidP="00427044">
            <w:pPr>
              <w:widowControl w:val="0"/>
              <w:adjustRightInd w:val="0"/>
              <w:snapToGrid w:val="0"/>
              <w:spacing w:before="60" w:after="60" w:line="276" w:lineRule="auto"/>
              <w:jc w:val="both"/>
              <w:rPr>
                <w:rFonts w:cs="Times New Roman"/>
                <w:b/>
                <w:bCs/>
                <w:color w:val="000000" w:themeColor="text1"/>
                <w:sz w:val="22"/>
              </w:rPr>
            </w:pPr>
            <w:r w:rsidRPr="00E72358">
              <w:rPr>
                <w:rFonts w:cs="Times New Roman"/>
                <w:color w:val="000000" w:themeColor="text1"/>
                <w:sz w:val="22"/>
              </w:rPr>
              <w:t>c) Improve the business performance by renovating organization, method of business, management and control mechanism, technical and technology capacity-building, human resources, logical market organization, and good business management.</w:t>
            </w:r>
          </w:p>
        </w:tc>
        <w:tc>
          <w:tcPr>
            <w:tcW w:w="1490" w:type="pct"/>
          </w:tcPr>
          <w:p w14:paraId="760F60FC" w14:textId="7D305B09" w:rsidR="00B44EE2" w:rsidRPr="00E72358" w:rsidRDefault="00B44EE2" w:rsidP="00427044">
            <w:pPr>
              <w:widowControl w:val="0"/>
              <w:adjustRightInd w:val="0"/>
              <w:snapToGrid w:val="0"/>
              <w:spacing w:before="60" w:after="60" w:line="276" w:lineRule="auto"/>
              <w:jc w:val="both"/>
              <w:rPr>
                <w:rFonts w:cs="Times New Roman"/>
                <w:b/>
                <w:color w:val="000000" w:themeColor="text1"/>
                <w:sz w:val="22"/>
              </w:rPr>
            </w:pPr>
            <w:r w:rsidRPr="00E72358">
              <w:rPr>
                <w:rFonts w:cs="Times New Roman"/>
                <w:color w:val="000000" w:themeColor="text1"/>
                <w:sz w:val="22"/>
              </w:rPr>
              <w:t xml:space="preserve">c) Improve business efficiency through organizational restructuring and innovation in business models, management and administration; </w:t>
            </w:r>
            <w:r w:rsidRPr="00E72358">
              <w:rPr>
                <w:rFonts w:cs="Times New Roman"/>
                <w:color w:val="000000" w:themeColor="text1"/>
                <w:sz w:val="22"/>
                <w:u w:val="single"/>
              </w:rPr>
              <w:t>implement modern and digital-based corporate governance; focus on investment in research and development, science and technology, innovation, digital transformation and green transition to drive efficiency and sustainable growth</w:t>
            </w:r>
            <w:r w:rsidRPr="00E72358">
              <w:rPr>
                <w:rFonts w:cs="Times New Roman"/>
                <w:color w:val="000000" w:themeColor="text1"/>
                <w:sz w:val="22"/>
              </w:rPr>
              <w:t xml:space="preserve">; strengthen technical </w:t>
            </w:r>
            <w:r w:rsidRPr="00E72358">
              <w:rPr>
                <w:rFonts w:cs="Times New Roman"/>
                <w:color w:val="000000" w:themeColor="text1"/>
                <w:sz w:val="22"/>
              </w:rPr>
              <w:lastRenderedPageBreak/>
              <w:t xml:space="preserve">and technological capabilities, human resources, rational market organization, and effective business management. </w:t>
            </w:r>
          </w:p>
        </w:tc>
        <w:tc>
          <w:tcPr>
            <w:tcW w:w="1277" w:type="pct"/>
          </w:tcPr>
          <w:p w14:paraId="3C18D50E" w14:textId="2490F07B" w:rsidR="00202C2E" w:rsidRPr="00E72358" w:rsidRDefault="00202C2E" w:rsidP="00202C2E">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lastRenderedPageBreak/>
              <w:t xml:space="preserve">Supplement as the orientation in accordance with the spirit of the Resolution No. 79-NQ/TW of the </w:t>
            </w:r>
            <w:r w:rsidR="00C74071" w:rsidRPr="00E72358">
              <w:rPr>
                <w:rFonts w:cs="Times New Roman"/>
                <w:color w:val="000000" w:themeColor="text1"/>
                <w:sz w:val="22"/>
              </w:rPr>
              <w:t>Politburo</w:t>
            </w:r>
            <w:r w:rsidRPr="00E72358">
              <w:rPr>
                <w:rFonts w:cs="Times New Roman"/>
                <w:color w:val="000000" w:themeColor="text1"/>
                <w:sz w:val="22"/>
              </w:rPr>
              <w:t xml:space="preserve"> dated January 6, 2026 on State Economy Development (</w:t>
            </w:r>
            <w:r w:rsidRPr="00E72358">
              <w:rPr>
                <w:rFonts w:cs="Times New Roman"/>
                <w:b/>
                <w:bCs/>
                <w:color w:val="000000" w:themeColor="text1"/>
                <w:sz w:val="22"/>
              </w:rPr>
              <w:t>Resolution 79</w:t>
            </w:r>
            <w:r w:rsidRPr="00E72358">
              <w:rPr>
                <w:rFonts w:cs="Times New Roman"/>
                <w:color w:val="000000" w:themeColor="text1"/>
                <w:sz w:val="22"/>
              </w:rPr>
              <w:t>):</w:t>
            </w:r>
          </w:p>
          <w:p w14:paraId="1FB2507B" w14:textId="5AD18E90" w:rsidR="00202C2E" w:rsidRPr="00E72358" w:rsidRDefault="00202C2E" w:rsidP="00202C2E">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 Section II.2 of the Resolution 79 specifies </w:t>
            </w:r>
            <w:r w:rsidR="007D3B25" w:rsidRPr="00E72358">
              <w:rPr>
                <w:rFonts w:cs="Times New Roman"/>
                <w:color w:val="000000" w:themeColor="text1"/>
                <w:sz w:val="22"/>
              </w:rPr>
              <w:t>one of the specific</w:t>
            </w:r>
            <w:r w:rsidRPr="00E72358">
              <w:rPr>
                <w:rFonts w:cs="Times New Roman"/>
                <w:color w:val="000000" w:themeColor="text1"/>
                <w:sz w:val="22"/>
              </w:rPr>
              <w:t xml:space="preserve"> objectives is that up to 2030, “</w:t>
            </w:r>
            <w:r w:rsidRPr="00E72358">
              <w:rPr>
                <w:rFonts w:cs="Times New Roman"/>
                <w:i/>
                <w:iCs/>
                <w:color w:val="000000" w:themeColor="text1"/>
                <w:sz w:val="22"/>
              </w:rPr>
              <w:t xml:space="preserve">100% of State-owned enterprises </w:t>
            </w:r>
            <w:r w:rsidRPr="00E72358">
              <w:rPr>
                <w:rFonts w:cs="Times New Roman"/>
                <w:i/>
                <w:iCs/>
                <w:color w:val="000000" w:themeColor="text1"/>
                <w:sz w:val="22"/>
              </w:rPr>
              <w:lastRenderedPageBreak/>
              <w:t>implement modern, digital-based corporate governance</w:t>
            </w:r>
            <w:r w:rsidRPr="00E72358">
              <w:rPr>
                <w:rFonts w:cs="Times New Roman"/>
                <w:color w:val="000000" w:themeColor="text1"/>
                <w:sz w:val="22"/>
              </w:rPr>
              <w:t>”.</w:t>
            </w:r>
          </w:p>
          <w:p w14:paraId="47088BD9" w14:textId="5977CFEC" w:rsidR="00D157F6" w:rsidRPr="00E72358" w:rsidRDefault="00202C2E" w:rsidP="0008449E">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Section </w:t>
            </w:r>
            <w:proofErr w:type="gramStart"/>
            <w:r w:rsidRPr="00E72358">
              <w:rPr>
                <w:rFonts w:cs="Times New Roman"/>
                <w:color w:val="000000" w:themeColor="text1"/>
                <w:sz w:val="22"/>
              </w:rPr>
              <w:t>III.2.4(</w:t>
            </w:r>
            <w:proofErr w:type="gramEnd"/>
            <w:r w:rsidRPr="00E72358">
              <w:rPr>
                <w:rFonts w:cs="Times New Roman"/>
                <w:color w:val="000000" w:themeColor="text1"/>
                <w:sz w:val="22"/>
              </w:rPr>
              <w:t>b) of Resolution 79 identifies specific tasks and solutions for State-owned enterprises, including “</w:t>
            </w:r>
            <w:r w:rsidRPr="00E72358">
              <w:rPr>
                <w:rFonts w:cs="Times New Roman"/>
                <w:i/>
                <w:iCs/>
                <w:color w:val="000000" w:themeColor="text1"/>
                <w:sz w:val="22"/>
              </w:rPr>
              <w:t>Promoting investment in science and technology, innovation, digital transformation and green transition for efficient and sustainable business</w:t>
            </w:r>
            <w:r w:rsidRPr="00E72358">
              <w:rPr>
                <w:rFonts w:cs="Times New Roman"/>
                <w:color w:val="000000" w:themeColor="text1"/>
                <w:sz w:val="22"/>
              </w:rPr>
              <w:t xml:space="preserve">”. </w:t>
            </w:r>
          </w:p>
        </w:tc>
      </w:tr>
      <w:tr w:rsidR="00164B1E" w:rsidRPr="00E72358" w14:paraId="604B0A83" w14:textId="77777777" w:rsidTr="00693D24">
        <w:trPr>
          <w:trHeight w:val="20"/>
        </w:trPr>
        <w:tc>
          <w:tcPr>
            <w:tcW w:w="232" w:type="pct"/>
          </w:tcPr>
          <w:p w14:paraId="2B0C65D0" w14:textId="77777777" w:rsidR="00D01F6F" w:rsidRPr="00E72358" w:rsidRDefault="00D01F6F"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15AAA71E" w14:textId="5AF4ECB2" w:rsidR="00D01F6F" w:rsidRPr="00E72358" w:rsidRDefault="00D01F6F"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12, Clause 1</w:t>
            </w:r>
          </w:p>
        </w:tc>
        <w:tc>
          <w:tcPr>
            <w:tcW w:w="1437" w:type="pct"/>
          </w:tcPr>
          <w:p w14:paraId="01294368" w14:textId="77777777" w:rsidR="00D01F6F" w:rsidRPr="00E72358" w:rsidRDefault="00D01F6F" w:rsidP="00427044">
            <w:pPr>
              <w:widowControl w:val="0"/>
              <w:adjustRightInd w:val="0"/>
              <w:snapToGrid w:val="0"/>
              <w:spacing w:before="60" w:after="60" w:line="276" w:lineRule="auto"/>
              <w:jc w:val="both"/>
              <w:rPr>
                <w:rFonts w:cs="Times New Roman"/>
                <w:b/>
                <w:bCs/>
                <w:color w:val="000000" w:themeColor="text1"/>
                <w:sz w:val="22"/>
              </w:rPr>
            </w:pPr>
            <w:r w:rsidRPr="00E72358">
              <w:rPr>
                <w:rFonts w:cs="Times New Roman"/>
                <w:b/>
                <w:color w:val="000000" w:themeColor="text1"/>
                <w:sz w:val="22"/>
              </w:rPr>
              <w:t>Article 12. Rights of Shareholders</w:t>
            </w:r>
          </w:p>
          <w:p w14:paraId="4ED9F979" w14:textId="06EE1489" w:rsidR="00D01F6F" w:rsidRPr="00E72358" w:rsidRDefault="00D01F6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1. Shareho</w:t>
            </w:r>
            <w:r w:rsidR="00C74071" w:rsidRPr="00E72358">
              <w:rPr>
                <w:rFonts w:cs="Times New Roman"/>
                <w:color w:val="000000" w:themeColor="text1"/>
                <w:sz w:val="22"/>
              </w:rPr>
              <w:t xml:space="preserve">lder is the owner of </w:t>
            </w:r>
            <w:proofErr w:type="spellStart"/>
            <w:r w:rsidR="00C74071" w:rsidRPr="00E72358">
              <w:rPr>
                <w:rFonts w:cs="Times New Roman"/>
                <w:color w:val="000000" w:themeColor="text1"/>
                <w:sz w:val="22"/>
              </w:rPr>
              <w:t>Petrolimex</w:t>
            </w:r>
            <w:proofErr w:type="spellEnd"/>
            <w:r w:rsidR="00C74071" w:rsidRPr="00E72358">
              <w:rPr>
                <w:rFonts w:cs="Times New Roman"/>
                <w:color w:val="000000" w:themeColor="text1"/>
                <w:sz w:val="22"/>
              </w:rPr>
              <w:t>,</w:t>
            </w:r>
            <w:r w:rsidRPr="00E72358">
              <w:rPr>
                <w:rFonts w:cs="Times New Roman"/>
                <w:color w:val="000000" w:themeColor="text1"/>
                <w:sz w:val="22"/>
              </w:rPr>
              <w:t xml:space="preserve"> having the respective rights and obligations in </w:t>
            </w:r>
            <w:r w:rsidR="00C74071" w:rsidRPr="00E72358">
              <w:rPr>
                <w:rFonts w:cs="Times New Roman"/>
                <w:color w:val="000000" w:themeColor="text1"/>
                <w:sz w:val="22"/>
              </w:rPr>
              <w:t>proration</w:t>
            </w:r>
            <w:r w:rsidRPr="00E72358">
              <w:rPr>
                <w:rFonts w:cs="Times New Roman"/>
                <w:color w:val="000000" w:themeColor="text1"/>
                <w:sz w:val="22"/>
              </w:rPr>
              <w:t xml:space="preserve"> to their shareholdings and share categories. Each shareholder is only responsible for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debts and other asset liabilities within its contributed capital.</w:t>
            </w:r>
          </w:p>
        </w:tc>
        <w:tc>
          <w:tcPr>
            <w:tcW w:w="1490" w:type="pct"/>
          </w:tcPr>
          <w:p w14:paraId="03DEF7DA" w14:textId="77777777" w:rsidR="00D01F6F" w:rsidRPr="00E72358" w:rsidRDefault="00D01F6F" w:rsidP="00427044">
            <w:pPr>
              <w:widowControl w:val="0"/>
              <w:adjustRightInd w:val="0"/>
              <w:snapToGrid w:val="0"/>
              <w:spacing w:before="60" w:after="60" w:line="276" w:lineRule="auto"/>
              <w:jc w:val="both"/>
              <w:rPr>
                <w:rFonts w:cs="Times New Roman"/>
                <w:b/>
                <w:bCs/>
                <w:color w:val="000000" w:themeColor="text1"/>
                <w:sz w:val="22"/>
              </w:rPr>
            </w:pPr>
            <w:r w:rsidRPr="00E72358">
              <w:rPr>
                <w:rFonts w:cs="Times New Roman"/>
                <w:b/>
                <w:color w:val="000000" w:themeColor="text1"/>
                <w:sz w:val="22"/>
              </w:rPr>
              <w:t>Article 12. Rights of Shareholders</w:t>
            </w:r>
          </w:p>
          <w:p w14:paraId="1B446D0D" w14:textId="139AD5C6" w:rsidR="00D01F6F" w:rsidRPr="00E72358" w:rsidRDefault="00D01F6F" w:rsidP="00963440">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1. </w:t>
            </w:r>
            <w:r w:rsidR="00963440" w:rsidRPr="00E72358">
              <w:rPr>
                <w:rFonts w:cs="Times New Roman"/>
                <w:color w:val="000000" w:themeColor="text1"/>
                <w:sz w:val="22"/>
              </w:rPr>
              <w:t>A s</w:t>
            </w:r>
            <w:r w:rsidRPr="00E72358">
              <w:rPr>
                <w:rFonts w:cs="Times New Roman"/>
                <w:color w:val="000000" w:themeColor="text1"/>
                <w:sz w:val="22"/>
              </w:rPr>
              <w:t xml:space="preserve">hareholder is </w:t>
            </w:r>
            <w:r w:rsidR="00963440" w:rsidRPr="00E72358">
              <w:rPr>
                <w:rFonts w:cs="Times New Roman"/>
                <w:color w:val="000000" w:themeColor="text1"/>
                <w:sz w:val="22"/>
              </w:rPr>
              <w:t xml:space="preserve">an </w:t>
            </w:r>
            <w:r w:rsidRPr="00E72358">
              <w:rPr>
                <w:rFonts w:cs="Times New Roman"/>
                <w:color w:val="000000" w:themeColor="text1"/>
                <w:sz w:val="22"/>
              </w:rPr>
              <w:t>individual and organization</w:t>
            </w:r>
            <w:r w:rsidRPr="00E72358">
              <w:rPr>
                <w:rFonts w:cs="Times New Roman"/>
                <w:color w:val="000000" w:themeColor="text1"/>
                <w:sz w:val="22"/>
                <w:u w:val="single"/>
              </w:rPr>
              <w:t xml:space="preserve"> holding at least one share of</w:t>
            </w:r>
            <w:r w:rsidRPr="00E72358">
              <w:rPr>
                <w:rFonts w:cs="Times New Roman"/>
                <w:color w:val="000000" w:themeColor="text1"/>
                <w:sz w:val="22"/>
              </w:rPr>
              <w:t xml:space="preserve">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having the respective rights and obligations in proration to their shareholdings and share categories. Each shareholder is only responsible for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debts and other asset liabilities within its contributed capital.</w:t>
            </w:r>
          </w:p>
        </w:tc>
        <w:tc>
          <w:tcPr>
            <w:tcW w:w="1277" w:type="pct"/>
          </w:tcPr>
          <w:p w14:paraId="26A8D598" w14:textId="77777777" w:rsidR="00D01F6F" w:rsidRPr="00E72358" w:rsidRDefault="00D01F6F"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Amend to be well matched with Article 4, clause 3 of the Law on Enterprises. </w:t>
            </w:r>
          </w:p>
          <w:p w14:paraId="2B185A40" w14:textId="77777777" w:rsidR="00D01F6F" w:rsidRPr="00E72358" w:rsidRDefault="00D01F6F" w:rsidP="00427044">
            <w:pPr>
              <w:widowControl w:val="0"/>
              <w:adjustRightInd w:val="0"/>
              <w:snapToGrid w:val="0"/>
              <w:spacing w:before="60" w:after="60" w:line="276" w:lineRule="auto"/>
              <w:jc w:val="both"/>
              <w:rPr>
                <w:rFonts w:cs="Times New Roman"/>
                <w:color w:val="000000" w:themeColor="text1"/>
                <w:sz w:val="22"/>
              </w:rPr>
            </w:pPr>
          </w:p>
        </w:tc>
      </w:tr>
      <w:tr w:rsidR="00A023F6" w:rsidRPr="00E72358" w14:paraId="6FE979C1" w14:textId="77777777" w:rsidTr="00693D24">
        <w:trPr>
          <w:trHeight w:val="20"/>
        </w:trPr>
        <w:tc>
          <w:tcPr>
            <w:tcW w:w="232" w:type="pct"/>
          </w:tcPr>
          <w:p w14:paraId="6C1A6508" w14:textId="77777777" w:rsidR="004447FD" w:rsidRPr="00E72358" w:rsidRDefault="004447FD"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4BA2C816" w14:textId="27B58FC7" w:rsidR="004447FD" w:rsidRPr="00E72358" w:rsidRDefault="004447FD"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12, Clause 2, point a</w:t>
            </w:r>
          </w:p>
        </w:tc>
        <w:tc>
          <w:tcPr>
            <w:tcW w:w="1437" w:type="pct"/>
          </w:tcPr>
          <w:p w14:paraId="3EE2C849" w14:textId="7B599FA7" w:rsidR="004447FD" w:rsidRPr="00E72358" w:rsidRDefault="004447FD" w:rsidP="00427044">
            <w:pPr>
              <w:widowControl w:val="0"/>
              <w:adjustRightInd w:val="0"/>
              <w:snapToGrid w:val="0"/>
              <w:spacing w:before="60" w:after="60" w:line="276" w:lineRule="auto"/>
              <w:jc w:val="both"/>
              <w:rPr>
                <w:rFonts w:cs="Times New Roman"/>
                <w:b/>
                <w:bCs/>
                <w:color w:val="000000" w:themeColor="text1"/>
                <w:sz w:val="22"/>
              </w:rPr>
            </w:pPr>
            <w:r w:rsidRPr="00E72358">
              <w:rPr>
                <w:rFonts w:cs="Times New Roman"/>
                <w:color w:val="000000" w:themeColor="text1"/>
                <w:sz w:val="22"/>
              </w:rPr>
              <w:t>Participate and deliver speech in the General Meeting of Shareholders and vote either directly or through proxy or remote voting;</w:t>
            </w:r>
          </w:p>
        </w:tc>
        <w:tc>
          <w:tcPr>
            <w:tcW w:w="1490" w:type="pct"/>
          </w:tcPr>
          <w:p w14:paraId="1D2A7FA0" w14:textId="384ECC1E" w:rsidR="004447FD" w:rsidRPr="00E72358" w:rsidRDefault="004447FD" w:rsidP="00427044">
            <w:pPr>
              <w:widowControl w:val="0"/>
              <w:adjustRightInd w:val="0"/>
              <w:snapToGrid w:val="0"/>
              <w:spacing w:before="60" w:after="60" w:line="276" w:lineRule="auto"/>
              <w:jc w:val="both"/>
              <w:rPr>
                <w:rFonts w:cs="Times New Roman"/>
                <w:b/>
                <w:bCs/>
                <w:color w:val="000000" w:themeColor="text1"/>
                <w:sz w:val="22"/>
              </w:rPr>
            </w:pPr>
            <w:r w:rsidRPr="00E72358">
              <w:rPr>
                <w:rFonts w:cs="Times New Roman"/>
                <w:color w:val="000000" w:themeColor="text1"/>
                <w:sz w:val="22"/>
              </w:rPr>
              <w:t xml:space="preserve">Participate and deliver speech in the General Meeting of Shareholders and vote either directly or through proxy or remote voting. </w:t>
            </w:r>
            <w:r w:rsidRPr="00E72358">
              <w:rPr>
                <w:rFonts w:cs="Times New Roman"/>
                <w:color w:val="000000" w:themeColor="text1"/>
                <w:sz w:val="22"/>
                <w:u w:val="single"/>
              </w:rPr>
              <w:t>Each ordinary share has a vote;</w:t>
            </w:r>
            <w:r w:rsidRPr="00E72358">
              <w:rPr>
                <w:rFonts w:cs="Times New Roman"/>
                <w:color w:val="000000" w:themeColor="text1"/>
                <w:sz w:val="22"/>
              </w:rPr>
              <w:t xml:space="preserve"> </w:t>
            </w:r>
          </w:p>
        </w:tc>
        <w:tc>
          <w:tcPr>
            <w:tcW w:w="1277" w:type="pct"/>
          </w:tcPr>
          <w:p w14:paraId="026ECE35" w14:textId="4255C437" w:rsidR="004447FD" w:rsidRPr="00E72358" w:rsidRDefault="004447FD"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Supplement to ensure compliance with Article 115, clause 1, point </w:t>
            </w:r>
            <w:proofErr w:type="gramStart"/>
            <w:r w:rsidRPr="00E72358">
              <w:rPr>
                <w:rFonts w:cs="Times New Roman"/>
                <w:color w:val="000000" w:themeColor="text1"/>
                <w:sz w:val="22"/>
              </w:rPr>
              <w:t>a of</w:t>
            </w:r>
            <w:proofErr w:type="gramEnd"/>
            <w:r w:rsidRPr="00E72358">
              <w:rPr>
                <w:rFonts w:cs="Times New Roman"/>
                <w:color w:val="000000" w:themeColor="text1"/>
                <w:sz w:val="22"/>
              </w:rPr>
              <w:t xml:space="preserve"> the Law on Enterprises and Article 12, Clause 1 of the Charter Form.</w:t>
            </w:r>
          </w:p>
        </w:tc>
      </w:tr>
      <w:tr w:rsidR="00A023F6" w:rsidRPr="00E72358" w14:paraId="41E2BA0F" w14:textId="77777777" w:rsidTr="00693D24">
        <w:trPr>
          <w:trHeight w:val="20"/>
        </w:trPr>
        <w:tc>
          <w:tcPr>
            <w:tcW w:w="232" w:type="pct"/>
          </w:tcPr>
          <w:p w14:paraId="0B2E4690" w14:textId="77777777" w:rsidR="001A3A07" w:rsidRPr="00E72358" w:rsidRDefault="001A3A07"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0955BFD5" w14:textId="16EBFE0C" w:rsidR="001A3A07" w:rsidRPr="00E72358" w:rsidRDefault="001A3A07"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13, Clause 6, point d</w:t>
            </w:r>
          </w:p>
        </w:tc>
        <w:tc>
          <w:tcPr>
            <w:tcW w:w="1437" w:type="pct"/>
          </w:tcPr>
          <w:p w14:paraId="39AD06BA" w14:textId="763F81A1" w:rsidR="001A3A07" w:rsidRPr="00E72358" w:rsidRDefault="001A3A07"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d) </w:t>
            </w:r>
            <w:r w:rsidR="001C2280" w:rsidRPr="00E72358">
              <w:rPr>
                <w:rFonts w:cs="Times New Roman"/>
                <w:color w:val="000000" w:themeColor="text1"/>
                <w:sz w:val="22"/>
              </w:rPr>
              <w:t>Submit votes to the meeting</w:t>
            </w:r>
            <w:r w:rsidRPr="00E72358">
              <w:rPr>
                <w:rFonts w:cs="Times New Roman"/>
                <w:color w:val="000000" w:themeColor="text1"/>
                <w:sz w:val="22"/>
              </w:rPr>
              <w:t xml:space="preserve"> through registered mail, fax or email;</w:t>
            </w:r>
          </w:p>
        </w:tc>
        <w:tc>
          <w:tcPr>
            <w:tcW w:w="1490" w:type="pct"/>
          </w:tcPr>
          <w:p w14:paraId="3DE7D7D3" w14:textId="64F6CA39" w:rsidR="001A3A07" w:rsidRPr="00E72358" w:rsidRDefault="001A3A07" w:rsidP="00B47675">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d) </w:t>
            </w:r>
            <w:r w:rsidR="001C2280" w:rsidRPr="00E72358">
              <w:rPr>
                <w:rFonts w:cs="Times New Roman"/>
                <w:color w:val="000000" w:themeColor="text1"/>
                <w:sz w:val="22"/>
              </w:rPr>
              <w:t>Submit votes to the meeting</w:t>
            </w:r>
            <w:r w:rsidRPr="00E72358">
              <w:rPr>
                <w:rFonts w:cs="Times New Roman"/>
                <w:color w:val="000000" w:themeColor="text1"/>
                <w:sz w:val="22"/>
              </w:rPr>
              <w:t xml:space="preserve"> through registered mail, fax, email </w:t>
            </w:r>
            <w:r w:rsidRPr="00E72358">
              <w:rPr>
                <w:rFonts w:cs="Times New Roman"/>
                <w:color w:val="000000" w:themeColor="text1"/>
                <w:sz w:val="22"/>
                <w:u w:val="single"/>
              </w:rPr>
              <w:t>or other data message</w:t>
            </w:r>
            <w:r w:rsidR="00B47675" w:rsidRPr="00E72358">
              <w:rPr>
                <w:rFonts w:cs="Times New Roman"/>
                <w:color w:val="000000" w:themeColor="text1"/>
                <w:sz w:val="22"/>
                <w:u w:val="single"/>
              </w:rPr>
              <w:t xml:space="preserve">s compatible </w:t>
            </w:r>
            <w:r w:rsidRPr="00E72358">
              <w:rPr>
                <w:rFonts w:cs="Times New Roman"/>
                <w:color w:val="000000" w:themeColor="text1"/>
                <w:sz w:val="22"/>
                <w:u w:val="single"/>
              </w:rPr>
              <w:t xml:space="preserve">with the procedures for convening and voting at the General </w:t>
            </w:r>
            <w:r w:rsidRPr="00E72358">
              <w:rPr>
                <w:rFonts w:cs="Times New Roman"/>
                <w:color w:val="000000" w:themeColor="text1"/>
                <w:sz w:val="22"/>
                <w:u w:val="single"/>
              </w:rPr>
              <w:lastRenderedPageBreak/>
              <w:t>Meeting of Shareholders as defined herein;</w:t>
            </w:r>
          </w:p>
        </w:tc>
        <w:tc>
          <w:tcPr>
            <w:tcW w:w="1277" w:type="pct"/>
          </w:tcPr>
          <w:p w14:paraId="024F93B8" w14:textId="2D661E9D" w:rsidR="001A3A07" w:rsidRPr="00E72358" w:rsidRDefault="001A3A07"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lastRenderedPageBreak/>
              <w:t xml:space="preserve">Supplement for the case of vote delivery via meeting software and website of the meeting session. This Regulation complies with Clause 9, Article 20 of the Draft Charter, the </w:t>
            </w:r>
            <w:r w:rsidRPr="00E72358">
              <w:rPr>
                <w:rFonts w:cs="Times New Roman"/>
                <w:color w:val="000000" w:themeColor="text1"/>
                <w:sz w:val="22"/>
              </w:rPr>
              <w:lastRenderedPageBreak/>
              <w:t>spirit of e-governance of the Resolution 79</w:t>
            </w:r>
            <w:r w:rsidRPr="00E72358">
              <w:rPr>
                <w:rStyle w:val="FootnoteReference"/>
                <w:rFonts w:eastAsiaTheme="majorEastAsia" w:cs="Times New Roman"/>
                <w:color w:val="000000" w:themeColor="text1"/>
                <w:sz w:val="22"/>
              </w:rPr>
              <w:footnoteReference w:id="2"/>
            </w:r>
            <w:r w:rsidRPr="00E72358">
              <w:rPr>
                <w:rFonts w:cs="Times New Roman"/>
                <w:color w:val="000000" w:themeColor="text1"/>
                <w:sz w:val="22"/>
              </w:rPr>
              <w:t>, Article 144 of the Law on Enterprises, Article 273 of the Decree No. 155/2020/N</w:t>
            </w:r>
            <w:r w:rsidR="00C74071" w:rsidRPr="00E72358">
              <w:rPr>
                <w:rFonts w:cs="Times New Roman"/>
                <w:color w:val="000000" w:themeColor="text1"/>
                <w:sz w:val="22"/>
              </w:rPr>
              <w:t>D</w:t>
            </w:r>
            <w:r w:rsidRPr="00E72358">
              <w:rPr>
                <w:rFonts w:cs="Times New Roman"/>
                <w:color w:val="000000" w:themeColor="text1"/>
                <w:sz w:val="22"/>
              </w:rPr>
              <w:t xml:space="preserve">-CP and the Charter Form under the Circular No. 116/2020/TT-BTC (Article 13, clause 6, point </w:t>
            </w:r>
            <w:proofErr w:type="spellStart"/>
            <w:r w:rsidRPr="00E72358">
              <w:rPr>
                <w:rFonts w:cs="Times New Roman"/>
                <w:color w:val="000000" w:themeColor="text1"/>
                <w:sz w:val="22"/>
              </w:rPr>
              <w:t>dd</w:t>
            </w:r>
            <w:proofErr w:type="spellEnd"/>
            <w:r w:rsidRPr="00E72358">
              <w:rPr>
                <w:rFonts w:cs="Times New Roman"/>
                <w:color w:val="000000" w:themeColor="text1"/>
                <w:sz w:val="22"/>
              </w:rPr>
              <w:t>) and Article 7 of the 2023 Law on Electronic Transaction.</w:t>
            </w:r>
          </w:p>
        </w:tc>
      </w:tr>
      <w:tr w:rsidR="00A023F6" w:rsidRPr="00E72358" w14:paraId="355B8FC6" w14:textId="77777777" w:rsidTr="00693D24">
        <w:trPr>
          <w:trHeight w:val="20"/>
        </w:trPr>
        <w:tc>
          <w:tcPr>
            <w:tcW w:w="232" w:type="pct"/>
          </w:tcPr>
          <w:p w14:paraId="27EFF5BC" w14:textId="77777777" w:rsidR="005111A4" w:rsidRPr="00E72358" w:rsidRDefault="005111A4" w:rsidP="00427044">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564" w:type="pct"/>
          </w:tcPr>
          <w:p w14:paraId="3BB2F5FA" w14:textId="63D517DE" w:rsidR="005111A4" w:rsidRPr="00E72358" w:rsidRDefault="005111A4" w:rsidP="00427044">
            <w:pPr>
              <w:widowControl w:val="0"/>
              <w:adjustRightInd w:val="0"/>
              <w:snapToGrid w:val="0"/>
              <w:spacing w:before="60" w:after="60"/>
              <w:rPr>
                <w:rFonts w:cs="Times New Roman"/>
                <w:color w:val="000000" w:themeColor="text1"/>
                <w:sz w:val="22"/>
              </w:rPr>
            </w:pPr>
            <w:r w:rsidRPr="00E72358">
              <w:rPr>
                <w:rFonts w:cs="Times New Roman"/>
                <w:color w:val="000000" w:themeColor="text1"/>
                <w:sz w:val="22"/>
              </w:rPr>
              <w:t>Article 15, Clause 1, point d</w:t>
            </w:r>
          </w:p>
        </w:tc>
        <w:tc>
          <w:tcPr>
            <w:tcW w:w="1437" w:type="pct"/>
          </w:tcPr>
          <w:p w14:paraId="5B935900" w14:textId="10CE70BE" w:rsidR="005111A4" w:rsidRPr="00E72358" w:rsidRDefault="005111A4" w:rsidP="00427044">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 xml:space="preserve">Decisions on the investment or sale of assets valued at 35% or more of the total value of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assets recorded in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latest financial statements</w:t>
            </w:r>
          </w:p>
        </w:tc>
        <w:tc>
          <w:tcPr>
            <w:tcW w:w="1490" w:type="pct"/>
          </w:tcPr>
          <w:p w14:paraId="3ECA4565" w14:textId="332FCB8B" w:rsidR="005111A4" w:rsidRPr="00E72358" w:rsidRDefault="005111A4" w:rsidP="00E72358">
            <w:pPr>
              <w:widowControl w:val="0"/>
              <w:adjustRightInd w:val="0"/>
              <w:snapToGrid w:val="0"/>
              <w:spacing w:before="60" w:after="60"/>
              <w:jc w:val="both"/>
              <w:rPr>
                <w:rFonts w:cs="Times New Roman"/>
                <w:color w:val="000000" w:themeColor="text1"/>
                <w:sz w:val="22"/>
                <w:u w:val="single"/>
              </w:rPr>
            </w:pPr>
            <w:r w:rsidRPr="00E72358">
              <w:rPr>
                <w:rFonts w:cs="Times New Roman"/>
                <w:color w:val="000000" w:themeColor="text1"/>
                <w:sz w:val="22"/>
                <w:u w:val="single"/>
              </w:rPr>
              <w:t xml:space="preserve">Decision: investment in </w:t>
            </w:r>
            <w:r w:rsidR="00B47675" w:rsidRPr="00E72358">
              <w:rPr>
                <w:rFonts w:cs="Times New Roman"/>
                <w:color w:val="000000" w:themeColor="text1"/>
                <w:sz w:val="22"/>
                <w:u w:val="single"/>
              </w:rPr>
              <w:t>each investment</w:t>
            </w:r>
            <w:r w:rsidRPr="00E72358">
              <w:rPr>
                <w:rFonts w:cs="Times New Roman"/>
                <w:color w:val="000000" w:themeColor="text1"/>
                <w:sz w:val="22"/>
                <w:u w:val="single"/>
              </w:rPr>
              <w:t xml:space="preserve"> project and investment; acquisition, finance lease, and disposal of fixed assets; transfer of investment projects and capital investments beyond the authority of the Board of Management as prescribed in Points e, g and h, Clause 2 of Article 27 herein;</w:t>
            </w:r>
          </w:p>
        </w:tc>
        <w:tc>
          <w:tcPr>
            <w:tcW w:w="1277" w:type="pct"/>
          </w:tcPr>
          <w:p w14:paraId="102971BE" w14:textId="5D5D2889" w:rsidR="0040450E" w:rsidRPr="00E72358" w:rsidRDefault="005111A4" w:rsidP="0040450E">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 xml:space="preserve">Amend to ensure compliance with the Law 68 and the Decree No. 366/2025/ND-CP. </w:t>
            </w:r>
          </w:p>
          <w:p w14:paraId="20E3BF04" w14:textId="23C183E0" w:rsidR="0040450E" w:rsidRPr="00E72358" w:rsidRDefault="0040450E" w:rsidP="00164B1E">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(For more details of authority of the Board of Management, see sections 26, 27, &amp; 28 below)</w:t>
            </w:r>
          </w:p>
          <w:p w14:paraId="70D4F8D9" w14:textId="0165B11A" w:rsidR="005111A4" w:rsidRPr="00E72358" w:rsidRDefault="005111A4" w:rsidP="00164B1E">
            <w:pPr>
              <w:widowControl w:val="0"/>
              <w:adjustRightInd w:val="0"/>
              <w:snapToGrid w:val="0"/>
              <w:spacing w:before="120" w:after="120" w:line="288" w:lineRule="auto"/>
              <w:jc w:val="both"/>
              <w:rPr>
                <w:rFonts w:cs="Times New Roman"/>
                <w:color w:val="000000" w:themeColor="text1"/>
                <w:sz w:val="22"/>
              </w:rPr>
            </w:pPr>
          </w:p>
        </w:tc>
      </w:tr>
      <w:tr w:rsidR="00A023F6" w:rsidRPr="00E72358" w14:paraId="4490A1B9" w14:textId="77777777" w:rsidTr="00693D24">
        <w:trPr>
          <w:trHeight w:val="20"/>
        </w:trPr>
        <w:tc>
          <w:tcPr>
            <w:tcW w:w="232" w:type="pct"/>
          </w:tcPr>
          <w:p w14:paraId="5B2BE37F" w14:textId="77777777" w:rsidR="00A30683" w:rsidRPr="00E72358" w:rsidRDefault="00A30683"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3DC36351" w14:textId="1F8E3F85" w:rsidR="00A30683" w:rsidRPr="00E72358" w:rsidRDefault="00A30683"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15, Clause 2, points n, o</w:t>
            </w:r>
            <w:r w:rsidRPr="00E72358">
              <w:rPr>
                <w:rFonts w:cs="Times New Roman"/>
                <w:color w:val="000000" w:themeColor="text1"/>
                <w:sz w:val="22"/>
              </w:rPr>
              <w:tab/>
            </w:r>
          </w:p>
        </w:tc>
        <w:tc>
          <w:tcPr>
            <w:tcW w:w="1437" w:type="pct"/>
          </w:tcPr>
          <w:p w14:paraId="2F27913B" w14:textId="77777777" w:rsidR="00A30683" w:rsidRPr="00E72358" w:rsidRDefault="00A30683"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n)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division, separation, merger, consolidation or transformation;</w:t>
            </w:r>
          </w:p>
          <w:p w14:paraId="0BC5EEA6" w14:textId="1BFB5BF4" w:rsidR="00A30683" w:rsidRPr="00E72358" w:rsidRDefault="00A30683"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o)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re-organization and dissolution (liquidation) and appointment of liquidator;</w:t>
            </w:r>
          </w:p>
        </w:tc>
        <w:tc>
          <w:tcPr>
            <w:tcW w:w="1490" w:type="pct"/>
          </w:tcPr>
          <w:p w14:paraId="1503591D" w14:textId="77777777" w:rsidR="00A30683" w:rsidRPr="00E72358" w:rsidRDefault="00A30683"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n)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division, separation, merger, consolidation or transformation;</w:t>
            </w:r>
          </w:p>
          <w:p w14:paraId="43611013" w14:textId="3C7E6D3A" w:rsidR="00A30683" w:rsidRPr="00E72358" w:rsidRDefault="00A30683"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o)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w:t>
            </w:r>
            <w:r w:rsidRPr="00E72358">
              <w:rPr>
                <w:rFonts w:cs="Times New Roman"/>
                <w:color w:val="000000" w:themeColor="text1"/>
                <w:sz w:val="22"/>
                <w:u w:val="single"/>
              </w:rPr>
              <w:t>dissolution</w:t>
            </w:r>
            <w:r w:rsidRPr="00E72358">
              <w:rPr>
                <w:rFonts w:cs="Times New Roman"/>
                <w:color w:val="000000" w:themeColor="text1"/>
                <w:sz w:val="22"/>
              </w:rPr>
              <w:t xml:space="preserve"> (liquidation) and appointment of liquidator;</w:t>
            </w:r>
          </w:p>
        </w:tc>
        <w:tc>
          <w:tcPr>
            <w:tcW w:w="1277" w:type="pct"/>
          </w:tcPr>
          <w:p w14:paraId="7DB28476" w14:textId="3C8799F5" w:rsidR="00A30683" w:rsidRPr="00E72358" w:rsidRDefault="00A30683"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According to Article 4, Clause 31 of the Law on Enterprises: “</w:t>
            </w:r>
            <w:r w:rsidRPr="00E72358">
              <w:rPr>
                <w:rFonts w:cs="Times New Roman"/>
                <w:i/>
                <w:iCs/>
                <w:color w:val="000000" w:themeColor="text1"/>
                <w:sz w:val="22"/>
              </w:rPr>
              <w:t>Business reorganization</w:t>
            </w:r>
            <w:r w:rsidRPr="00E72358">
              <w:rPr>
                <w:rFonts w:cs="Times New Roman"/>
                <w:color w:val="000000" w:themeColor="text1"/>
                <w:sz w:val="22"/>
              </w:rPr>
              <w:t xml:space="preserve">” refers to separation, division, consolidation, merger or transformation of enterprise form “, this content has been specified at point n. Therefore, recommend to remove “reorganization” word in point o, clause 2, Article 15 of the </w:t>
            </w:r>
            <w:r w:rsidRPr="00E72358">
              <w:rPr>
                <w:rFonts w:cs="Times New Roman"/>
                <w:color w:val="000000" w:themeColor="text1"/>
                <w:sz w:val="22"/>
              </w:rPr>
              <w:lastRenderedPageBreak/>
              <w:t>2025 Charter to avoid identical contents at point n of the same Clause.</w:t>
            </w:r>
          </w:p>
        </w:tc>
      </w:tr>
      <w:tr w:rsidR="00A023F6" w:rsidRPr="00E72358" w14:paraId="2ADE0A36" w14:textId="77777777" w:rsidTr="00693D24">
        <w:trPr>
          <w:trHeight w:val="20"/>
        </w:trPr>
        <w:tc>
          <w:tcPr>
            <w:tcW w:w="232" w:type="pct"/>
          </w:tcPr>
          <w:p w14:paraId="08F963B7" w14:textId="77777777" w:rsidR="007A49AF" w:rsidRPr="00E72358" w:rsidRDefault="007A49AF" w:rsidP="00427044">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564" w:type="pct"/>
          </w:tcPr>
          <w:p w14:paraId="62731887" w14:textId="51ECEDE8" w:rsidR="007A49AF" w:rsidRPr="00E72358" w:rsidRDefault="007A49AF" w:rsidP="00427044">
            <w:pPr>
              <w:widowControl w:val="0"/>
              <w:adjustRightInd w:val="0"/>
              <w:snapToGrid w:val="0"/>
              <w:spacing w:before="60" w:after="60"/>
              <w:rPr>
                <w:rFonts w:cs="Times New Roman"/>
                <w:color w:val="000000" w:themeColor="text1"/>
                <w:sz w:val="22"/>
              </w:rPr>
            </w:pPr>
            <w:r w:rsidRPr="00E72358">
              <w:rPr>
                <w:rFonts w:cs="Times New Roman"/>
                <w:color w:val="000000" w:themeColor="text1"/>
                <w:sz w:val="22"/>
              </w:rPr>
              <w:t xml:space="preserve">Article 15 </w:t>
            </w:r>
          </w:p>
        </w:tc>
        <w:tc>
          <w:tcPr>
            <w:tcW w:w="1437" w:type="pct"/>
          </w:tcPr>
          <w:p w14:paraId="7480E3F5" w14:textId="6DEB369E" w:rsidR="007A49AF" w:rsidRPr="00E72358" w:rsidRDefault="007A49AF" w:rsidP="00427044">
            <w:pPr>
              <w:widowControl w:val="0"/>
              <w:adjustRightInd w:val="0"/>
              <w:snapToGrid w:val="0"/>
              <w:spacing w:before="60" w:after="60"/>
              <w:jc w:val="both"/>
              <w:rPr>
                <w:rFonts w:cs="Times New Roman"/>
                <w:iCs/>
                <w:color w:val="000000" w:themeColor="text1"/>
                <w:sz w:val="22"/>
              </w:rPr>
            </w:pPr>
            <w:r w:rsidRPr="00E72358">
              <w:rPr>
                <w:rFonts w:cs="Times New Roman"/>
                <w:color w:val="000000" w:themeColor="text1"/>
                <w:sz w:val="22"/>
              </w:rPr>
              <w:t>Not specified</w:t>
            </w:r>
          </w:p>
        </w:tc>
        <w:tc>
          <w:tcPr>
            <w:tcW w:w="1490" w:type="pct"/>
          </w:tcPr>
          <w:p w14:paraId="0FB623F2" w14:textId="33263EDC" w:rsidR="007A49AF" w:rsidRPr="00E72358" w:rsidRDefault="00D16713" w:rsidP="00B02640">
            <w:pPr>
              <w:jc w:val="both"/>
              <w:rPr>
                <w:rFonts w:cs="Times New Roman"/>
                <w:color w:val="000000" w:themeColor="text1"/>
                <w:sz w:val="22"/>
                <w:u w:val="single"/>
              </w:rPr>
            </w:pPr>
            <w:r w:rsidRPr="00E72358">
              <w:rPr>
                <w:rFonts w:cs="Times New Roman"/>
                <w:color w:val="000000" w:themeColor="text1"/>
                <w:sz w:val="22"/>
                <w:u w:val="single"/>
              </w:rPr>
              <w:t>4. Matters approved by the previous Resolutions of the General Meeting of Shareholders but not yet implemented must be reported by the Board of Management to the General Meeting of Shareholders at the nearest annual meeting. Where any changes arise in matters falling within the decision-making authority of the General Meeting of Shareholders, the Board of Management must submit such changes to the General Meeting of Shareholders for approval at the nearest meeting before implementation.</w:t>
            </w:r>
          </w:p>
        </w:tc>
        <w:tc>
          <w:tcPr>
            <w:tcW w:w="1277" w:type="pct"/>
          </w:tcPr>
          <w:p w14:paraId="598DAACB" w14:textId="36C7173F" w:rsidR="007A49AF" w:rsidRPr="00E72358" w:rsidRDefault="00A2461F" w:rsidP="00427044">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Supplement contents to ensure compliance with Article 272, Clause 2 of the Decree No. 157/2020/ND-CP on authority of the General Meeting of Shareholders.</w:t>
            </w:r>
          </w:p>
        </w:tc>
      </w:tr>
      <w:tr w:rsidR="00A023F6" w:rsidRPr="00E72358" w14:paraId="242CBDE4" w14:textId="77777777" w:rsidTr="00693D24">
        <w:trPr>
          <w:trHeight w:val="20"/>
        </w:trPr>
        <w:tc>
          <w:tcPr>
            <w:tcW w:w="232" w:type="pct"/>
          </w:tcPr>
          <w:p w14:paraId="453D0D0E" w14:textId="77777777" w:rsidR="00406A09" w:rsidRPr="00E72358" w:rsidRDefault="00406A09"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522ABC1C" w14:textId="3E505191" w:rsidR="00406A09" w:rsidRPr="00E72358" w:rsidRDefault="00406A09"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20, Clause 9</w:t>
            </w:r>
          </w:p>
        </w:tc>
        <w:tc>
          <w:tcPr>
            <w:tcW w:w="1437" w:type="pct"/>
          </w:tcPr>
          <w:p w14:paraId="4C7F58D6" w14:textId="479740F4" w:rsidR="00406A09" w:rsidRPr="00E72358" w:rsidRDefault="00406A09"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In the event that the modern technology is applied to organize the General Meeting of Shareholders via online platform,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is obligated to ensure that the shareholders may participate and vote with electronic voting form or other forms as specified in Article 144 of the Law on Enterprises and clause 3, Article 273 of the Decree No. 155/N</w:t>
            </w:r>
            <w:r w:rsidR="00C74071" w:rsidRPr="00E72358">
              <w:rPr>
                <w:rFonts w:cs="Times New Roman"/>
                <w:color w:val="000000" w:themeColor="text1"/>
                <w:sz w:val="22"/>
              </w:rPr>
              <w:t>D</w:t>
            </w:r>
            <w:r w:rsidRPr="00E72358">
              <w:rPr>
                <w:rFonts w:cs="Times New Roman"/>
                <w:color w:val="000000" w:themeColor="text1"/>
                <w:sz w:val="22"/>
              </w:rPr>
              <w:t>-CP of the Government dated December 31, 2020 on detailing the implementation of a number of Articles of the Law on Securities.</w:t>
            </w:r>
          </w:p>
        </w:tc>
        <w:tc>
          <w:tcPr>
            <w:tcW w:w="1490" w:type="pct"/>
          </w:tcPr>
          <w:p w14:paraId="2B3A4C48" w14:textId="77777777" w:rsidR="00A46E3F" w:rsidRPr="00E72358" w:rsidRDefault="00A46E3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9. Organization of Online General Meeting of Shareholders</w:t>
            </w:r>
          </w:p>
          <w:p w14:paraId="768D4084" w14:textId="75C9D1DC" w:rsidR="00A46E3F" w:rsidRPr="00E72358" w:rsidRDefault="00A46E3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a) In case of online platform, the Organizing Committee established by the Board of Management is obligated to fulfill the procedures and tasks to serve for online meeting organization.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is obligated to ensure that the shareholders may participate and vote with electronic voting form or other forms as prescribed by the laws.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applies </w:t>
            </w:r>
            <w:r w:rsidR="00321280" w:rsidRPr="00E72358">
              <w:rPr>
                <w:rFonts w:cs="Times New Roman"/>
                <w:color w:val="000000" w:themeColor="text1"/>
                <w:sz w:val="22"/>
              </w:rPr>
              <w:t>the most advanced IT solutions</w:t>
            </w:r>
            <w:r w:rsidRPr="00E72358">
              <w:rPr>
                <w:rFonts w:cs="Times New Roman"/>
                <w:color w:val="000000" w:themeColor="text1"/>
                <w:sz w:val="22"/>
              </w:rPr>
              <w:t xml:space="preserve"> to facilitate the shareholders to attend the Online General Meeting in the most convenient manner.</w:t>
            </w:r>
          </w:p>
          <w:p w14:paraId="23F10A68" w14:textId="128880E2" w:rsidR="00A46E3F" w:rsidRPr="00E72358" w:rsidRDefault="00A46E3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lastRenderedPageBreak/>
              <w:t xml:space="preserve">b) </w:t>
            </w:r>
            <w:r w:rsidR="00B47675" w:rsidRPr="00E72358">
              <w:rPr>
                <w:rFonts w:cs="Times New Roman"/>
                <w:color w:val="000000" w:themeColor="text1"/>
                <w:sz w:val="22"/>
              </w:rPr>
              <w:t xml:space="preserve">A shareholder’s </w:t>
            </w:r>
            <w:r w:rsidRPr="00E72358">
              <w:rPr>
                <w:rFonts w:cs="Times New Roman"/>
                <w:color w:val="000000" w:themeColor="text1"/>
                <w:sz w:val="22"/>
              </w:rPr>
              <w:t xml:space="preserve">registration </w:t>
            </w:r>
            <w:r w:rsidR="00B47675" w:rsidRPr="00E72358">
              <w:rPr>
                <w:rFonts w:cs="Times New Roman"/>
                <w:color w:val="000000" w:themeColor="text1"/>
                <w:sz w:val="22"/>
              </w:rPr>
              <w:t>for</w:t>
            </w:r>
            <w:r w:rsidRPr="00E72358">
              <w:rPr>
                <w:rFonts w:cs="Times New Roman"/>
                <w:color w:val="000000" w:themeColor="text1"/>
                <w:sz w:val="22"/>
              </w:rPr>
              <w:t xml:space="preserve"> </w:t>
            </w:r>
            <w:r w:rsidR="00B47675" w:rsidRPr="00E72358">
              <w:rPr>
                <w:rFonts w:cs="Times New Roman"/>
                <w:color w:val="000000" w:themeColor="text1"/>
                <w:sz w:val="22"/>
              </w:rPr>
              <w:t>o</w:t>
            </w:r>
            <w:r w:rsidRPr="00E72358">
              <w:rPr>
                <w:rFonts w:cs="Times New Roman"/>
                <w:color w:val="000000" w:themeColor="text1"/>
                <w:sz w:val="22"/>
              </w:rPr>
              <w:t xml:space="preserve">nline </w:t>
            </w:r>
            <w:r w:rsidR="00B47675" w:rsidRPr="00E72358">
              <w:rPr>
                <w:rFonts w:cs="Times New Roman"/>
                <w:color w:val="000000" w:themeColor="text1"/>
                <w:sz w:val="22"/>
              </w:rPr>
              <w:t>attendance</w:t>
            </w:r>
            <w:r w:rsidRPr="00E72358">
              <w:rPr>
                <w:rFonts w:cs="Times New Roman"/>
                <w:color w:val="000000" w:themeColor="text1"/>
                <w:sz w:val="22"/>
              </w:rPr>
              <w:t xml:space="preserve"> and electronic voting </w:t>
            </w:r>
            <w:r w:rsidR="00D72AEB" w:rsidRPr="00E72358">
              <w:rPr>
                <w:rFonts w:cs="Times New Roman"/>
                <w:color w:val="000000" w:themeColor="text1"/>
                <w:sz w:val="22"/>
              </w:rPr>
              <w:t xml:space="preserve">shall have the same legal validity as physical attendance and voting </w:t>
            </w:r>
            <w:r w:rsidRPr="00E72358">
              <w:rPr>
                <w:rFonts w:cs="Times New Roman"/>
                <w:color w:val="000000" w:themeColor="text1"/>
                <w:sz w:val="22"/>
              </w:rPr>
              <w:t>at the meeting.</w:t>
            </w:r>
          </w:p>
          <w:p w14:paraId="7128F465" w14:textId="19C52416" w:rsidR="00A46E3F" w:rsidRPr="00E72358" w:rsidRDefault="00D72AEB"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c</w:t>
            </w:r>
            <w:r w:rsidR="00A46E3F" w:rsidRPr="00E72358">
              <w:rPr>
                <w:rFonts w:cs="Times New Roman"/>
                <w:color w:val="000000" w:themeColor="text1"/>
                <w:sz w:val="22"/>
              </w:rPr>
              <w:t>) The system for organizing the Online General Meeting of Shareholders and electronic voting must meet the following conditions:</w:t>
            </w:r>
          </w:p>
          <w:p w14:paraId="4B34C4DF" w14:textId="77777777" w:rsidR="00A46E3F" w:rsidRPr="00E72358" w:rsidRDefault="00A46E3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The system must be maintained safely and stably, ready to meet the connection and participation requirements of shareholders.</w:t>
            </w:r>
          </w:p>
          <w:p w14:paraId="4271745B" w14:textId="77777777" w:rsidR="00A46E3F" w:rsidRPr="00E72358" w:rsidRDefault="00A46E3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The main venue must be qualified with the conditions of audio, lighting, transmission line, power supply, electronic media and other facilities in accordance with the requirements and nature of the online meeting.</w:t>
            </w:r>
          </w:p>
          <w:p w14:paraId="15899CA1" w14:textId="65E921E3" w:rsidR="00A46E3F" w:rsidRPr="00E72358" w:rsidRDefault="00A46E3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 Information security must be ensured, and login credentials must be kept confidential. All information received and provided through the system must comply with information security principles and provisions of the Law on </w:t>
            </w:r>
            <w:proofErr w:type="spellStart"/>
            <w:r w:rsidRPr="00E72358">
              <w:rPr>
                <w:rFonts w:cs="Times New Roman"/>
                <w:color w:val="000000" w:themeColor="text1"/>
                <w:sz w:val="22"/>
              </w:rPr>
              <w:t>Cyberinformation</w:t>
            </w:r>
            <w:proofErr w:type="spellEnd"/>
            <w:r w:rsidRPr="00E72358">
              <w:rPr>
                <w:rFonts w:cs="Times New Roman"/>
                <w:color w:val="000000" w:themeColor="text1"/>
                <w:sz w:val="22"/>
              </w:rPr>
              <w:t xml:space="preserve"> Security </w:t>
            </w:r>
            <w:r w:rsidRPr="00E72358">
              <w:rPr>
                <w:rFonts w:cs="Times New Roman"/>
                <w:color w:val="000000" w:themeColor="text1"/>
                <w:sz w:val="22"/>
                <w:u w:val="single"/>
              </w:rPr>
              <w:t>and Law on Cybersecurity</w:t>
            </w:r>
            <w:r w:rsidRPr="00E72358">
              <w:rPr>
                <w:rFonts w:cs="Times New Roman"/>
                <w:color w:val="000000" w:themeColor="text1"/>
                <w:sz w:val="22"/>
              </w:rPr>
              <w:t>.</w:t>
            </w:r>
          </w:p>
          <w:p w14:paraId="5B4A9099" w14:textId="77777777" w:rsidR="00A46E3F" w:rsidRPr="00E72358" w:rsidRDefault="00A46E3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 Electronic data related to the online General Meeting of Shareholders must be recorded, stored, and used in compliance </w:t>
            </w:r>
            <w:r w:rsidRPr="00E72358">
              <w:rPr>
                <w:rFonts w:cs="Times New Roman"/>
                <w:color w:val="000000" w:themeColor="text1"/>
                <w:sz w:val="22"/>
              </w:rPr>
              <w:lastRenderedPageBreak/>
              <w:t>with regulations.</w:t>
            </w:r>
          </w:p>
          <w:p w14:paraId="4C7FDB57" w14:textId="3B062C7F" w:rsidR="00406A09" w:rsidRPr="00E72358" w:rsidRDefault="00A46E3F"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d. The Board of Management is responsible for promulgating the specific provisions and </w:t>
            </w:r>
            <w:r w:rsidR="00D72AEB" w:rsidRPr="00E72358">
              <w:rPr>
                <w:rFonts w:cs="Times New Roman"/>
                <w:color w:val="000000" w:themeColor="text1"/>
                <w:sz w:val="22"/>
              </w:rPr>
              <w:t>guidance</w:t>
            </w:r>
            <w:r w:rsidRPr="00E72358">
              <w:rPr>
                <w:rFonts w:cs="Times New Roman"/>
                <w:color w:val="000000" w:themeColor="text1"/>
                <w:sz w:val="22"/>
              </w:rPr>
              <w:t xml:space="preserve"> necessary to the shareholders to join the Online Meeting and carry out the electronic voting.</w:t>
            </w:r>
          </w:p>
        </w:tc>
        <w:tc>
          <w:tcPr>
            <w:tcW w:w="1277" w:type="pct"/>
          </w:tcPr>
          <w:p w14:paraId="221FFBEC" w14:textId="096FCCB4" w:rsidR="001D6A9E" w:rsidRPr="00E72358" w:rsidRDefault="00502DC6"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lastRenderedPageBreak/>
              <w:t xml:space="preserve">Integrate clause 9, Article 20 of the 2025 Charter and contents at clause 5, Article 14 of the 2025 Charter. </w:t>
            </w:r>
          </w:p>
          <w:p w14:paraId="5BEC3FB8" w14:textId="3176FEC9" w:rsidR="009313C9" w:rsidRPr="00E72358" w:rsidRDefault="009313C9" w:rsidP="009313C9">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Add the terms “Law on Cybersecurity” into point (c) as the Law on </w:t>
            </w:r>
            <w:proofErr w:type="spellStart"/>
            <w:r w:rsidRPr="00E72358">
              <w:rPr>
                <w:rFonts w:cs="Times New Roman"/>
                <w:color w:val="000000" w:themeColor="text1"/>
                <w:sz w:val="22"/>
              </w:rPr>
              <w:t>Cyberinformation</w:t>
            </w:r>
            <w:proofErr w:type="spellEnd"/>
            <w:r w:rsidRPr="00E72358">
              <w:rPr>
                <w:rFonts w:cs="Times New Roman"/>
                <w:color w:val="000000" w:themeColor="text1"/>
                <w:sz w:val="22"/>
              </w:rPr>
              <w:t xml:space="preserve"> Security 2015 shall be invalid on July 1, 2026. The 2025 Law on Cybersecurity shall supersede the 2015 Law on </w:t>
            </w:r>
            <w:proofErr w:type="spellStart"/>
            <w:r w:rsidRPr="00E72358">
              <w:rPr>
                <w:rFonts w:cs="Times New Roman"/>
                <w:color w:val="000000" w:themeColor="text1"/>
                <w:sz w:val="22"/>
              </w:rPr>
              <w:t>Cyberinformation</w:t>
            </w:r>
            <w:proofErr w:type="spellEnd"/>
            <w:r w:rsidRPr="00E72358">
              <w:rPr>
                <w:rFonts w:cs="Times New Roman"/>
                <w:color w:val="000000" w:themeColor="text1"/>
                <w:sz w:val="22"/>
              </w:rPr>
              <w:t xml:space="preserve"> Security and the 2018 Law on Cybersecurity.</w:t>
            </w:r>
          </w:p>
          <w:p w14:paraId="632591CC" w14:textId="77777777" w:rsidR="009313C9" w:rsidRPr="00E72358" w:rsidRDefault="009313C9" w:rsidP="00427044">
            <w:pPr>
              <w:widowControl w:val="0"/>
              <w:adjustRightInd w:val="0"/>
              <w:snapToGrid w:val="0"/>
              <w:spacing w:before="60" w:after="60" w:line="276" w:lineRule="auto"/>
              <w:jc w:val="both"/>
              <w:rPr>
                <w:rFonts w:cs="Times New Roman"/>
                <w:color w:val="000000" w:themeColor="text1"/>
                <w:sz w:val="22"/>
              </w:rPr>
            </w:pPr>
          </w:p>
          <w:p w14:paraId="600E6B06" w14:textId="7850943B" w:rsidR="009313C9" w:rsidRPr="00E72358" w:rsidRDefault="009313C9" w:rsidP="009313C9">
            <w:pPr>
              <w:spacing w:before="60" w:after="60"/>
              <w:jc w:val="both"/>
              <w:rPr>
                <w:rFonts w:cs="Times New Roman"/>
                <w:color w:val="000000" w:themeColor="text1"/>
                <w:sz w:val="22"/>
              </w:rPr>
            </w:pPr>
          </w:p>
        </w:tc>
      </w:tr>
      <w:tr w:rsidR="00A023F6" w:rsidRPr="00E72358" w14:paraId="1CB1DED3" w14:textId="77777777" w:rsidTr="00693D24">
        <w:trPr>
          <w:trHeight w:val="20"/>
        </w:trPr>
        <w:tc>
          <w:tcPr>
            <w:tcW w:w="232" w:type="pct"/>
          </w:tcPr>
          <w:p w14:paraId="65220C4C" w14:textId="77777777" w:rsidR="00D55A9F" w:rsidRPr="00E72358" w:rsidRDefault="00D55A9F"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663E9CBE" w14:textId="52866C64" w:rsidR="00D55A9F" w:rsidRPr="00E72358" w:rsidRDefault="00D55A9F"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22, Clause 4</w:t>
            </w:r>
          </w:p>
        </w:tc>
        <w:tc>
          <w:tcPr>
            <w:tcW w:w="1437" w:type="pct"/>
          </w:tcPr>
          <w:p w14:paraId="30206C9D" w14:textId="77777777" w:rsidR="00D55A9F" w:rsidRPr="00E72358" w:rsidRDefault="00D55A9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4. Shareholders may send completed written opinion form to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by mail delivery, fax or email as prescribed as follows:</w:t>
            </w:r>
          </w:p>
          <w:p w14:paraId="66F38006" w14:textId="77777777" w:rsidR="00D55A9F" w:rsidRPr="00E72358" w:rsidRDefault="00D55A9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a) By post: The completed written opinion form must bear the signature of the shareholder if the shareholder is an individual, or signature of the authorized representative or legal representative if the shareholder is an organization. Every written opinion form sent to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must be put into sealed envelopes. Envelopes must not be opened before counting;</w:t>
            </w:r>
          </w:p>
          <w:p w14:paraId="268360D7" w14:textId="77777777" w:rsidR="00D55A9F" w:rsidRPr="00E72358" w:rsidRDefault="00D55A9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b) By fax or email: Written opinion forms sent by fax or email must be kept confidential until the vote counting time;</w:t>
            </w:r>
          </w:p>
          <w:p w14:paraId="0B101CC3" w14:textId="1926D8D9" w:rsidR="00D55A9F" w:rsidRPr="00E72358" w:rsidRDefault="00D55A9F"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c) Written opinion forms sent to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after the deadline written </w:t>
            </w:r>
            <w:r w:rsidRPr="00E72358">
              <w:rPr>
                <w:rFonts w:cs="Times New Roman"/>
                <w:color w:val="000000" w:themeColor="text1"/>
                <w:sz w:val="22"/>
              </w:rPr>
              <w:lastRenderedPageBreak/>
              <w:t>therein, written opinion forms sent by post in envelopes that are opened, written opinion forms sent by fax or email that are revealed are all invalid. If a written opinion form is not submitted, it will be excluded from voting.</w:t>
            </w:r>
          </w:p>
        </w:tc>
        <w:tc>
          <w:tcPr>
            <w:tcW w:w="1490" w:type="pct"/>
          </w:tcPr>
          <w:p w14:paraId="116C9936" w14:textId="5FB5174A" w:rsidR="00D55A9F" w:rsidRPr="00E72358" w:rsidRDefault="00D55A9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lastRenderedPageBreak/>
              <w:t xml:space="preserve">4. Shareholders may send completed written opinion form to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by mail delivery, fax, email </w:t>
            </w:r>
            <w:r w:rsidRPr="00E72358">
              <w:rPr>
                <w:rFonts w:cs="Times New Roman"/>
                <w:color w:val="000000" w:themeColor="text1"/>
                <w:sz w:val="22"/>
                <w:u w:val="single"/>
              </w:rPr>
              <w:t>or other data messages</w:t>
            </w:r>
            <w:r w:rsidRPr="00E72358">
              <w:rPr>
                <w:rFonts w:cs="Times New Roman"/>
                <w:color w:val="000000" w:themeColor="text1"/>
                <w:sz w:val="22"/>
              </w:rPr>
              <w:t xml:space="preserve"> in accordance with following regulations:</w:t>
            </w:r>
          </w:p>
          <w:p w14:paraId="0E3E6E08" w14:textId="77777777" w:rsidR="00D55A9F" w:rsidRPr="00E72358" w:rsidRDefault="00D55A9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a) By post: The completed written opinion form must bear the signature of the shareholder if the shareholder is an individual, or signature of the authorized representative or legal representative if the shareholder is an organization. Every written opinion form sent to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must be put into sealed envelopes. Envelopes must not be opened before counting;</w:t>
            </w:r>
          </w:p>
          <w:p w14:paraId="0C0FF257" w14:textId="414B5576" w:rsidR="00D55A9F" w:rsidRPr="00E72358" w:rsidRDefault="00D55A9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b) By fax</w:t>
            </w:r>
            <w:r w:rsidRPr="00E72358">
              <w:rPr>
                <w:rFonts w:cs="Times New Roman"/>
                <w:color w:val="000000" w:themeColor="text1"/>
                <w:sz w:val="22"/>
                <w:u w:val="single"/>
              </w:rPr>
              <w:t>,</w:t>
            </w:r>
            <w:r w:rsidRPr="00E72358">
              <w:rPr>
                <w:rFonts w:cs="Times New Roman"/>
                <w:color w:val="000000" w:themeColor="text1"/>
                <w:sz w:val="22"/>
              </w:rPr>
              <w:t xml:space="preserve"> email or </w:t>
            </w:r>
            <w:r w:rsidRPr="00E72358">
              <w:rPr>
                <w:rFonts w:cs="Times New Roman"/>
                <w:color w:val="000000" w:themeColor="text1"/>
                <w:sz w:val="22"/>
                <w:u w:val="single"/>
              </w:rPr>
              <w:t>other data message</w:t>
            </w:r>
            <w:r w:rsidRPr="00E72358">
              <w:rPr>
                <w:rFonts w:cs="Times New Roman"/>
                <w:color w:val="000000" w:themeColor="text1"/>
                <w:sz w:val="22"/>
              </w:rPr>
              <w:t>: Written opinion forms sent by fax or email must be kept confidential until the vote counting time;</w:t>
            </w:r>
          </w:p>
          <w:p w14:paraId="042C225C" w14:textId="5AD0A761" w:rsidR="00D55A9F" w:rsidRPr="00E72358" w:rsidRDefault="00D55A9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c) Written opinion forms sent to </w:t>
            </w:r>
            <w:proofErr w:type="spellStart"/>
            <w:r w:rsidRPr="00E72358">
              <w:rPr>
                <w:rFonts w:cs="Times New Roman"/>
                <w:color w:val="000000" w:themeColor="text1"/>
                <w:sz w:val="22"/>
              </w:rPr>
              <w:lastRenderedPageBreak/>
              <w:t>Petrolimex</w:t>
            </w:r>
            <w:proofErr w:type="spellEnd"/>
            <w:r w:rsidRPr="00E72358">
              <w:rPr>
                <w:rFonts w:cs="Times New Roman"/>
                <w:color w:val="000000" w:themeColor="text1"/>
                <w:sz w:val="22"/>
              </w:rPr>
              <w:t xml:space="preserve"> after the deadline written therein, written opinion forms sent by post in envelopes that are opened, written opinion forms sent by fax or email that are revealed are all invalid. If a written opinion form is not submitted, it will be excluded from voting.</w:t>
            </w:r>
          </w:p>
        </w:tc>
        <w:tc>
          <w:tcPr>
            <w:tcW w:w="1277" w:type="pct"/>
          </w:tcPr>
          <w:p w14:paraId="2C2EDBC5" w14:textId="64B00B38" w:rsidR="00D55A9F" w:rsidRPr="00E72358" w:rsidRDefault="00D55A9F"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lastRenderedPageBreak/>
              <w:t xml:space="preserve">Add the </w:t>
            </w:r>
            <w:r w:rsidRPr="00E72358">
              <w:rPr>
                <w:rFonts w:cs="Times New Roman"/>
                <w:color w:val="000000" w:themeColor="text1"/>
                <w:sz w:val="22"/>
                <w:u w:val="single"/>
              </w:rPr>
              <w:t>underlined</w:t>
            </w:r>
            <w:r w:rsidRPr="00E72358">
              <w:rPr>
                <w:rFonts w:cs="Times New Roman"/>
                <w:color w:val="000000" w:themeColor="text1"/>
                <w:sz w:val="22"/>
              </w:rPr>
              <w:t xml:space="preserve"> words and expressions to facilitate applicability of other data messages not via email in accordance with the spirit of electronic governance of the Resolution No. 79</w:t>
            </w:r>
            <w:r w:rsidRPr="00E72358">
              <w:rPr>
                <w:rStyle w:val="FootnoteReference"/>
                <w:rFonts w:eastAsiaTheme="majorEastAsia" w:cs="Times New Roman"/>
                <w:color w:val="000000" w:themeColor="text1"/>
                <w:sz w:val="22"/>
              </w:rPr>
              <w:footnoteReference w:id="3"/>
            </w:r>
            <w:r w:rsidRPr="00E72358">
              <w:rPr>
                <w:rFonts w:cs="Times New Roman"/>
                <w:color w:val="000000" w:themeColor="text1"/>
                <w:sz w:val="22"/>
              </w:rPr>
              <w:t xml:space="preserve"> and the Article 7 of the 2023 Law on Electronic Transaction.</w:t>
            </w:r>
          </w:p>
        </w:tc>
      </w:tr>
      <w:tr w:rsidR="00A023F6" w:rsidRPr="00E72358" w14:paraId="74F3A60F" w14:textId="77777777" w:rsidTr="00693D24">
        <w:trPr>
          <w:trHeight w:val="20"/>
        </w:trPr>
        <w:tc>
          <w:tcPr>
            <w:tcW w:w="232" w:type="pct"/>
          </w:tcPr>
          <w:p w14:paraId="02242D1F" w14:textId="77777777" w:rsidR="00AD6A1F" w:rsidRPr="00E72358" w:rsidRDefault="00AD6A1F"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40E3A6B9" w14:textId="5B64ADAA" w:rsidR="00AD6A1F" w:rsidRPr="00E72358" w:rsidRDefault="00AD6A1F"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25, Clause 5, point c</w:t>
            </w:r>
            <w:r w:rsidRPr="00E72358">
              <w:rPr>
                <w:rFonts w:cs="Times New Roman"/>
                <w:color w:val="000000" w:themeColor="text1"/>
                <w:sz w:val="22"/>
              </w:rPr>
              <w:tab/>
            </w:r>
          </w:p>
        </w:tc>
        <w:tc>
          <w:tcPr>
            <w:tcW w:w="1437" w:type="pct"/>
          </w:tcPr>
          <w:p w14:paraId="787FE458" w14:textId="40673FDB" w:rsidR="00AD6A1F" w:rsidRPr="00E72358" w:rsidRDefault="00AD6A1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c) Accept to be BOM member of other companies;</w:t>
            </w:r>
          </w:p>
        </w:tc>
        <w:tc>
          <w:tcPr>
            <w:tcW w:w="1490" w:type="pct"/>
          </w:tcPr>
          <w:p w14:paraId="5D67EC58" w14:textId="54097A04" w:rsidR="00AD6A1F" w:rsidRPr="00E72358" w:rsidRDefault="00AD6A1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c) Accept to be BOM member of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w:t>
            </w:r>
            <w:r w:rsidRPr="00E72358">
              <w:rPr>
                <w:rFonts w:cs="Times New Roman"/>
                <w:color w:val="000000" w:themeColor="text1"/>
                <w:sz w:val="22"/>
                <w:u w:val="single"/>
              </w:rPr>
              <w:t>or Member Council</w:t>
            </w:r>
            <w:r w:rsidRPr="00E72358">
              <w:rPr>
                <w:rFonts w:cs="Times New Roman"/>
                <w:color w:val="000000" w:themeColor="text1"/>
                <w:sz w:val="22"/>
              </w:rPr>
              <w:t xml:space="preserve"> member of other companies </w:t>
            </w:r>
            <w:r w:rsidRPr="00E72358">
              <w:rPr>
                <w:rFonts w:cs="Times New Roman"/>
                <w:color w:val="000000" w:themeColor="text1"/>
                <w:sz w:val="22"/>
                <w:u w:val="single"/>
              </w:rPr>
              <w:t>as prescribed by the laws;</w:t>
            </w:r>
          </w:p>
        </w:tc>
        <w:tc>
          <w:tcPr>
            <w:tcW w:w="1277" w:type="pct"/>
          </w:tcPr>
          <w:p w14:paraId="0A9AD3E8" w14:textId="72F81508" w:rsidR="00AD6A1F" w:rsidRPr="00E72358" w:rsidRDefault="00AD6A1F"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According to Article 275, Clause 3 of the Decree No. 155/2020/ND-CP, amend Article 1, Clause 78 of the Decree No. 245/2025/N</w:t>
            </w:r>
            <w:r w:rsidR="00C74071" w:rsidRPr="00E72358">
              <w:rPr>
                <w:rFonts w:cs="Times New Roman"/>
                <w:color w:val="000000" w:themeColor="text1"/>
                <w:sz w:val="22"/>
              </w:rPr>
              <w:t>D</w:t>
            </w:r>
            <w:r w:rsidRPr="00E72358">
              <w:rPr>
                <w:rFonts w:cs="Times New Roman"/>
                <w:color w:val="000000" w:themeColor="text1"/>
                <w:sz w:val="22"/>
              </w:rPr>
              <w:t xml:space="preserve">-CP specifying that: </w:t>
            </w:r>
            <w:r w:rsidRPr="00E72358">
              <w:rPr>
                <w:rFonts w:cs="Times New Roman"/>
                <w:i/>
                <w:iCs/>
                <w:color w:val="000000" w:themeColor="text1"/>
                <w:sz w:val="22"/>
              </w:rPr>
              <w:t>“Members of the Board of Management of a public company may concurrently hold the position of member of Board of Management of up to 05 other companies”.</w:t>
            </w:r>
          </w:p>
          <w:p w14:paraId="76E2C6DB" w14:textId="75BA1DED" w:rsidR="00AD6A1F" w:rsidRPr="00E72358" w:rsidRDefault="00AD6A1F"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Accordingly, amend by the </w:t>
            </w:r>
            <w:r w:rsidRPr="00E72358">
              <w:rPr>
                <w:rFonts w:cs="Times New Roman"/>
                <w:color w:val="000000" w:themeColor="text1"/>
                <w:sz w:val="22"/>
                <w:u w:val="single"/>
              </w:rPr>
              <w:t>underlined</w:t>
            </w:r>
            <w:r w:rsidRPr="00E72358">
              <w:rPr>
                <w:rFonts w:cs="Times New Roman"/>
                <w:color w:val="000000" w:themeColor="text1"/>
                <w:sz w:val="22"/>
              </w:rPr>
              <w:t xml:space="preserve"> words to ensure compliance with provisions of the laws on qualifications of members of the Board of Management, while maintaining flexibility for application in the event of any amendments, supplements or replacements to such provisions (if any).</w:t>
            </w:r>
          </w:p>
        </w:tc>
      </w:tr>
      <w:tr w:rsidR="00A023F6" w:rsidRPr="00E72358" w14:paraId="6747D3B4" w14:textId="77777777" w:rsidTr="00693D24">
        <w:trPr>
          <w:trHeight w:val="20"/>
        </w:trPr>
        <w:tc>
          <w:tcPr>
            <w:tcW w:w="232" w:type="pct"/>
          </w:tcPr>
          <w:p w14:paraId="64EDA8B6" w14:textId="77777777" w:rsidR="00944CF6" w:rsidRPr="00E72358" w:rsidRDefault="00944CF6" w:rsidP="00427044">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564" w:type="pct"/>
          </w:tcPr>
          <w:p w14:paraId="0C6E48DA" w14:textId="614A315D" w:rsidR="00944CF6" w:rsidRPr="00E72358" w:rsidRDefault="00944CF6" w:rsidP="00427044">
            <w:pPr>
              <w:widowControl w:val="0"/>
              <w:adjustRightInd w:val="0"/>
              <w:snapToGrid w:val="0"/>
              <w:spacing w:before="60" w:after="60"/>
              <w:rPr>
                <w:rFonts w:cs="Times New Roman"/>
                <w:color w:val="000000" w:themeColor="text1"/>
                <w:sz w:val="22"/>
              </w:rPr>
            </w:pPr>
            <w:r w:rsidRPr="00E72358">
              <w:rPr>
                <w:rFonts w:cs="Times New Roman"/>
                <w:color w:val="000000" w:themeColor="text1"/>
                <w:sz w:val="22"/>
              </w:rPr>
              <w:t xml:space="preserve">Article 26, Clause 3, point </w:t>
            </w:r>
            <w:r w:rsidRPr="00E72358">
              <w:rPr>
                <w:rFonts w:cs="Times New Roman"/>
                <w:color w:val="000000" w:themeColor="text1"/>
                <w:sz w:val="22"/>
              </w:rPr>
              <w:lastRenderedPageBreak/>
              <w:t>a</w:t>
            </w:r>
          </w:p>
        </w:tc>
        <w:tc>
          <w:tcPr>
            <w:tcW w:w="1437" w:type="pct"/>
          </w:tcPr>
          <w:p w14:paraId="1A9F290A" w14:textId="77777777" w:rsidR="00944CF6" w:rsidRPr="00E72358" w:rsidRDefault="00944CF6" w:rsidP="00944CF6">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rPr>
              <w:lastRenderedPageBreak/>
              <w:t>3. The structure of the member of the Board is described as follows:</w:t>
            </w:r>
          </w:p>
          <w:p w14:paraId="7DED9AE6" w14:textId="66F63268" w:rsidR="00944CF6" w:rsidRPr="00E72358" w:rsidRDefault="00944CF6" w:rsidP="00944CF6">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rPr>
              <w:lastRenderedPageBreak/>
              <w:t xml:space="preserve">a) The structure of the Board of Management must ensure at least </w:t>
            </w:r>
            <w:r w:rsidRPr="00E72358">
              <w:rPr>
                <w:rFonts w:cs="Times New Roman"/>
                <w:color w:val="000000" w:themeColor="text1"/>
                <w:sz w:val="22"/>
                <w:u w:val="single"/>
              </w:rPr>
              <w:t>1/3 total members of the BOM.</w:t>
            </w:r>
          </w:p>
        </w:tc>
        <w:tc>
          <w:tcPr>
            <w:tcW w:w="1490" w:type="pct"/>
          </w:tcPr>
          <w:p w14:paraId="6C1ADA2B" w14:textId="42BDF387" w:rsidR="00944CF6" w:rsidRPr="00E72358" w:rsidRDefault="00944CF6" w:rsidP="00944CF6">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rPr>
              <w:lastRenderedPageBreak/>
              <w:t>3. The structure of the member of the Board is described as follows:</w:t>
            </w:r>
          </w:p>
          <w:p w14:paraId="0EDACB51" w14:textId="21A4ECE4" w:rsidR="00B62277" w:rsidRPr="00E72358" w:rsidRDefault="00944CF6" w:rsidP="00B62277">
            <w:pPr>
              <w:widowControl w:val="0"/>
              <w:adjustRightInd w:val="0"/>
              <w:snapToGrid w:val="0"/>
              <w:spacing w:before="60" w:after="60"/>
              <w:jc w:val="both"/>
              <w:rPr>
                <w:rFonts w:cs="Times New Roman"/>
                <w:bCs/>
                <w:color w:val="000000" w:themeColor="text1"/>
                <w:sz w:val="22"/>
                <w:u w:val="single"/>
              </w:rPr>
            </w:pPr>
            <w:r w:rsidRPr="00E72358">
              <w:rPr>
                <w:rFonts w:cs="Times New Roman"/>
                <w:color w:val="000000" w:themeColor="text1"/>
                <w:sz w:val="22"/>
              </w:rPr>
              <w:lastRenderedPageBreak/>
              <w:t xml:space="preserve">a) Guaranteed minimal number of non-executive members of Board of Management </w:t>
            </w:r>
            <w:r w:rsidRPr="00E72358">
              <w:rPr>
                <w:rFonts w:cs="Times New Roman"/>
                <w:color w:val="000000" w:themeColor="text1"/>
                <w:sz w:val="22"/>
                <w:u w:val="single"/>
              </w:rPr>
              <w:t>as prescribed in the Decree No. 245/2025/N</w:t>
            </w:r>
            <w:r w:rsidR="00C74071" w:rsidRPr="00E72358">
              <w:rPr>
                <w:rFonts w:cs="Times New Roman"/>
                <w:color w:val="000000" w:themeColor="text1"/>
                <w:sz w:val="22"/>
                <w:u w:val="single"/>
              </w:rPr>
              <w:t>D</w:t>
            </w:r>
            <w:r w:rsidRPr="00E72358">
              <w:rPr>
                <w:rFonts w:cs="Times New Roman"/>
                <w:color w:val="000000" w:themeColor="text1"/>
                <w:sz w:val="22"/>
                <w:u w:val="single"/>
              </w:rPr>
              <w:t>-CP.</w:t>
            </w:r>
          </w:p>
          <w:p w14:paraId="1F5C633E" w14:textId="5250A86B" w:rsidR="00944CF6" w:rsidRPr="00E72358" w:rsidRDefault="00944CF6" w:rsidP="00427044">
            <w:pPr>
              <w:widowControl w:val="0"/>
              <w:adjustRightInd w:val="0"/>
              <w:snapToGrid w:val="0"/>
              <w:spacing w:before="60" w:after="60"/>
              <w:jc w:val="both"/>
              <w:rPr>
                <w:rFonts w:cs="Times New Roman"/>
                <w:bCs/>
                <w:color w:val="000000" w:themeColor="text1"/>
                <w:sz w:val="22"/>
                <w:u w:val="single"/>
              </w:rPr>
            </w:pPr>
          </w:p>
        </w:tc>
        <w:tc>
          <w:tcPr>
            <w:tcW w:w="1277" w:type="pct"/>
          </w:tcPr>
          <w:p w14:paraId="3657F467" w14:textId="5F69F054" w:rsidR="00944CF6" w:rsidRPr="00E72358" w:rsidRDefault="00944CF6" w:rsidP="00427044">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lastRenderedPageBreak/>
              <w:t xml:space="preserve">Amend to ensure compliance with Article 1, Clause 79 of the Decree </w:t>
            </w:r>
            <w:r w:rsidRPr="00E72358">
              <w:rPr>
                <w:rFonts w:cs="Times New Roman"/>
                <w:color w:val="000000" w:themeColor="text1"/>
                <w:sz w:val="22"/>
              </w:rPr>
              <w:lastRenderedPageBreak/>
              <w:t>No. 245/2025/ND-CP.</w:t>
            </w:r>
          </w:p>
        </w:tc>
      </w:tr>
      <w:tr w:rsidR="00A023F6" w:rsidRPr="00E72358" w14:paraId="35EBACBF" w14:textId="77777777" w:rsidTr="00693D24">
        <w:trPr>
          <w:trHeight w:val="20"/>
        </w:trPr>
        <w:tc>
          <w:tcPr>
            <w:tcW w:w="232" w:type="pct"/>
          </w:tcPr>
          <w:p w14:paraId="297DA435" w14:textId="77777777" w:rsidR="00AD6A1F" w:rsidRPr="00E72358" w:rsidRDefault="00AD6A1F" w:rsidP="00427044">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54114E88" w14:textId="16997C71" w:rsidR="00AD6A1F" w:rsidRPr="00E72358" w:rsidRDefault="00AD6A1F" w:rsidP="00427044">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26, Clause 9</w:t>
            </w:r>
          </w:p>
        </w:tc>
        <w:tc>
          <w:tcPr>
            <w:tcW w:w="1437" w:type="pct"/>
          </w:tcPr>
          <w:p w14:paraId="36FEA9F9" w14:textId="1947C59B" w:rsidR="00AD6A1F" w:rsidRPr="00E72358" w:rsidRDefault="00AD6A1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Members of the Board of Management are not necessarily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shareholders.</w:t>
            </w:r>
          </w:p>
        </w:tc>
        <w:tc>
          <w:tcPr>
            <w:tcW w:w="1490" w:type="pct"/>
          </w:tcPr>
          <w:p w14:paraId="62CB84E1" w14:textId="46516DC4" w:rsidR="00AD6A1F" w:rsidRPr="00E72358" w:rsidRDefault="00AD6A1F" w:rsidP="00427044">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Remove Article 26, Clause 9 of the 2025 Charter.</w:t>
            </w:r>
          </w:p>
        </w:tc>
        <w:tc>
          <w:tcPr>
            <w:tcW w:w="1277" w:type="pct"/>
          </w:tcPr>
          <w:p w14:paraId="34B59A42" w14:textId="3209F894" w:rsidR="00AD6A1F" w:rsidRPr="00E72358" w:rsidRDefault="00AD6A1F" w:rsidP="00427044">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This content is identical with the provisions specified at Article 25, Clause 5, </w:t>
            </w:r>
            <w:proofErr w:type="gramStart"/>
            <w:r w:rsidRPr="00E72358">
              <w:rPr>
                <w:rFonts w:cs="Times New Roman"/>
                <w:color w:val="000000" w:themeColor="text1"/>
                <w:sz w:val="22"/>
              </w:rPr>
              <w:t>point</w:t>
            </w:r>
            <w:proofErr w:type="gramEnd"/>
            <w:r w:rsidRPr="00E72358">
              <w:rPr>
                <w:rFonts w:cs="Times New Roman"/>
                <w:color w:val="000000" w:themeColor="text1"/>
                <w:sz w:val="22"/>
              </w:rPr>
              <w:t xml:space="preserve"> b of the 2025 Charter.</w:t>
            </w:r>
          </w:p>
        </w:tc>
      </w:tr>
      <w:tr w:rsidR="00A023F6" w:rsidRPr="00E72358" w14:paraId="069A84B5" w14:textId="77777777" w:rsidTr="00693D24">
        <w:trPr>
          <w:trHeight w:val="20"/>
        </w:trPr>
        <w:tc>
          <w:tcPr>
            <w:tcW w:w="232" w:type="pct"/>
          </w:tcPr>
          <w:p w14:paraId="0E98D842" w14:textId="77777777" w:rsidR="0076216F" w:rsidRPr="00E72358" w:rsidRDefault="0076216F" w:rsidP="009870F3">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564" w:type="pct"/>
          </w:tcPr>
          <w:p w14:paraId="18AD1B4B" w14:textId="7B59F340" w:rsidR="0076216F" w:rsidRPr="00E72358" w:rsidRDefault="0076216F" w:rsidP="009870F3">
            <w:pPr>
              <w:widowControl w:val="0"/>
              <w:adjustRightInd w:val="0"/>
              <w:snapToGrid w:val="0"/>
              <w:spacing w:before="60" w:after="60"/>
              <w:rPr>
                <w:rFonts w:cs="Times New Roman"/>
                <w:color w:val="000000" w:themeColor="text1"/>
                <w:sz w:val="22"/>
              </w:rPr>
            </w:pPr>
            <w:r w:rsidRPr="00E72358">
              <w:rPr>
                <w:rFonts w:cs="Times New Roman"/>
                <w:color w:val="000000" w:themeColor="text1"/>
                <w:sz w:val="22"/>
              </w:rPr>
              <w:t>Article 27, Clause 2, point e</w:t>
            </w:r>
          </w:p>
        </w:tc>
        <w:tc>
          <w:tcPr>
            <w:tcW w:w="1437" w:type="pct"/>
          </w:tcPr>
          <w:p w14:paraId="43FCD261" w14:textId="378C0F5A" w:rsidR="0076216F" w:rsidRPr="00E72358" w:rsidRDefault="0076216F" w:rsidP="00164B1E">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Approve the investment plan and investment project within the authority and limitation as prescribed by the laws</w:t>
            </w:r>
          </w:p>
        </w:tc>
        <w:tc>
          <w:tcPr>
            <w:tcW w:w="1490" w:type="pct"/>
          </w:tcPr>
          <w:p w14:paraId="551FADAD" w14:textId="31D2083E" w:rsidR="0076216F" w:rsidRPr="00E72358" w:rsidRDefault="00D91B49" w:rsidP="00164B1E">
            <w:pPr>
              <w:widowControl w:val="0"/>
              <w:adjustRightInd w:val="0"/>
              <w:snapToGrid w:val="0"/>
              <w:spacing w:before="60" w:after="60"/>
              <w:jc w:val="both"/>
              <w:rPr>
                <w:rFonts w:cs="Times New Roman"/>
                <w:color w:val="000000" w:themeColor="text1"/>
                <w:sz w:val="22"/>
                <w:u w:val="single"/>
              </w:rPr>
            </w:pPr>
            <w:r w:rsidRPr="00E72358">
              <w:rPr>
                <w:rFonts w:cs="Times New Roman"/>
                <w:color w:val="000000" w:themeColor="text1"/>
                <w:sz w:val="22"/>
                <w:u w:val="single"/>
              </w:rPr>
              <w:t>e) Approve investments in each investment projects and items with a value not exceeding 50% of equity, or 50% of the owner’s investment capital where equity is lower than the owner’s investment capital, but not exceeding the cap prescribed by the Decree No. 366/2025/N</w:t>
            </w:r>
            <w:r w:rsidR="00C74071" w:rsidRPr="00E72358">
              <w:rPr>
                <w:rFonts w:cs="Times New Roman"/>
                <w:color w:val="000000" w:themeColor="text1"/>
                <w:sz w:val="22"/>
                <w:u w:val="single"/>
              </w:rPr>
              <w:t>D</w:t>
            </w:r>
            <w:r w:rsidRPr="00E72358">
              <w:rPr>
                <w:rFonts w:cs="Times New Roman"/>
                <w:color w:val="000000" w:themeColor="text1"/>
                <w:sz w:val="22"/>
                <w:u w:val="single"/>
              </w:rPr>
              <w:t xml:space="preserve">-CP (VND 5,000 billion). Equity and the owner’s investment capital described at this point shall be determined in accordance with </w:t>
            </w:r>
            <w:proofErr w:type="spellStart"/>
            <w:r w:rsidRPr="00E72358">
              <w:rPr>
                <w:rFonts w:cs="Times New Roman"/>
                <w:color w:val="000000" w:themeColor="text1"/>
                <w:sz w:val="22"/>
                <w:u w:val="single"/>
              </w:rPr>
              <w:t>Petrolimex’s</w:t>
            </w:r>
            <w:proofErr w:type="spellEnd"/>
            <w:r w:rsidRPr="00E72358">
              <w:rPr>
                <w:rFonts w:cs="Times New Roman"/>
                <w:color w:val="000000" w:themeColor="text1"/>
                <w:sz w:val="22"/>
                <w:u w:val="single"/>
              </w:rPr>
              <w:t xml:space="preserve"> most recent standalone quarterly or annual financial statements at the time of the investment.</w:t>
            </w:r>
          </w:p>
        </w:tc>
        <w:tc>
          <w:tcPr>
            <w:tcW w:w="1277" w:type="pct"/>
            <w:vMerge w:val="restart"/>
          </w:tcPr>
          <w:p w14:paraId="09D4516A" w14:textId="24508C79" w:rsidR="0076216F" w:rsidRPr="00E72358" w:rsidRDefault="0076216F" w:rsidP="009870F3">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 xml:space="preserve">Amend with the </w:t>
            </w:r>
            <w:r w:rsidRPr="00E72358">
              <w:rPr>
                <w:rFonts w:cs="Times New Roman"/>
                <w:color w:val="000000" w:themeColor="text1"/>
                <w:sz w:val="22"/>
                <w:u w:val="single"/>
              </w:rPr>
              <w:t>underlined</w:t>
            </w:r>
            <w:r w:rsidRPr="00E72358">
              <w:rPr>
                <w:rFonts w:cs="Times New Roman"/>
                <w:color w:val="000000" w:themeColor="text1"/>
                <w:sz w:val="22"/>
              </w:rPr>
              <w:t xml:space="preserve"> words to ensure compliance with the Law 68 and the Decree No. 366/2025/ND-CP. Concretely:</w:t>
            </w:r>
          </w:p>
          <w:p w14:paraId="31440190" w14:textId="77777777" w:rsidR="0076216F" w:rsidRPr="00E72358" w:rsidRDefault="0076216F" w:rsidP="009870F3">
            <w:pPr>
              <w:widowControl w:val="0"/>
              <w:adjustRightInd w:val="0"/>
              <w:snapToGrid w:val="0"/>
              <w:spacing w:before="120" w:after="120" w:line="288" w:lineRule="auto"/>
              <w:jc w:val="both"/>
              <w:rPr>
                <w:rFonts w:cs="Times New Roman"/>
                <w:b/>
                <w:bCs/>
                <w:color w:val="000000" w:themeColor="text1"/>
                <w:sz w:val="22"/>
              </w:rPr>
            </w:pPr>
            <w:r w:rsidRPr="00E72358">
              <w:rPr>
                <w:rFonts w:cs="Times New Roman"/>
                <w:b/>
                <w:color w:val="000000" w:themeColor="text1"/>
                <w:sz w:val="22"/>
              </w:rPr>
              <w:t xml:space="preserve">1. Authority specified at the Law on Enterprises and </w:t>
            </w:r>
            <w:proofErr w:type="spellStart"/>
            <w:r w:rsidRPr="00E72358">
              <w:rPr>
                <w:rFonts w:cs="Times New Roman"/>
                <w:b/>
                <w:color w:val="000000" w:themeColor="text1"/>
                <w:sz w:val="22"/>
              </w:rPr>
              <w:t>Petrolimex</w:t>
            </w:r>
            <w:proofErr w:type="spellEnd"/>
            <w:r w:rsidRPr="00E72358">
              <w:rPr>
                <w:rFonts w:cs="Times New Roman"/>
                <w:b/>
                <w:color w:val="000000" w:themeColor="text1"/>
                <w:sz w:val="22"/>
              </w:rPr>
              <w:t xml:space="preserve"> Charter</w:t>
            </w:r>
          </w:p>
          <w:p w14:paraId="32F250F6" w14:textId="76E5C911" w:rsidR="0076216F" w:rsidRPr="00E72358" w:rsidRDefault="0076216F" w:rsidP="009870F3">
            <w:pPr>
              <w:widowControl w:val="0"/>
              <w:adjustRightInd w:val="0"/>
              <w:snapToGrid w:val="0"/>
              <w:spacing w:before="120" w:after="120" w:line="288" w:lineRule="auto"/>
              <w:jc w:val="both"/>
              <w:rPr>
                <w:rFonts w:cs="Times New Roman"/>
                <w:i/>
                <w:iCs/>
                <w:color w:val="000000" w:themeColor="text1"/>
                <w:sz w:val="22"/>
              </w:rPr>
            </w:pPr>
            <w:r w:rsidRPr="00E72358">
              <w:rPr>
                <w:rFonts w:cs="Times New Roman"/>
                <w:color w:val="000000" w:themeColor="text1"/>
                <w:sz w:val="22"/>
              </w:rPr>
              <w:t xml:space="preserve">Article 153.2.(h) of the Law on Enterprises specifies that: </w:t>
            </w:r>
            <w:r w:rsidRPr="00E72358">
              <w:rPr>
                <w:rFonts w:cs="Times New Roman"/>
                <w:i/>
                <w:color w:val="000000" w:themeColor="text1"/>
                <w:sz w:val="22"/>
              </w:rPr>
              <w:t xml:space="preserve">“The Board of Directors has rights and obligations as follows: …h) To approve the sales contract, loan contract and other contracts and transactions having value </w:t>
            </w:r>
            <w:r w:rsidRPr="00E72358">
              <w:rPr>
                <w:rFonts w:cs="Times New Roman"/>
                <w:b/>
                <w:i/>
                <w:color w:val="000000" w:themeColor="text1"/>
                <w:sz w:val="22"/>
                <w:u w:val="single"/>
              </w:rPr>
              <w:t>from 35%</w:t>
            </w:r>
            <w:r w:rsidRPr="00E72358">
              <w:rPr>
                <w:rFonts w:cs="Times New Roman"/>
                <w:b/>
                <w:bCs/>
                <w:i/>
                <w:color w:val="000000" w:themeColor="text1"/>
                <w:sz w:val="22"/>
                <w:u w:val="single"/>
              </w:rPr>
              <w:t xml:space="preserve"> of total asset value</w:t>
            </w:r>
            <w:r w:rsidRPr="00E72358">
              <w:rPr>
                <w:rFonts w:cs="Times New Roman"/>
                <w:i/>
                <w:color w:val="000000" w:themeColor="text1"/>
                <w:sz w:val="22"/>
              </w:rPr>
              <w:t xml:space="preserve"> recorded in the latest financial statements of the Company, unless otherwise specified at other percent or value by the Charter, and contract and </w:t>
            </w:r>
            <w:r w:rsidRPr="00E72358">
              <w:rPr>
                <w:rFonts w:cs="Times New Roman"/>
                <w:i/>
                <w:color w:val="000000" w:themeColor="text1"/>
                <w:sz w:val="22"/>
              </w:rPr>
              <w:lastRenderedPageBreak/>
              <w:t>transaction under the authority of the General Meeting of Shareholders as prescribed at point d, clause 2, Article 138, clauses 1 &amp; 3, Article 167 of this Law;”.</w:t>
            </w:r>
          </w:p>
          <w:p w14:paraId="1518B4E4" w14:textId="210CCCB1" w:rsidR="0076216F" w:rsidRPr="00E72358" w:rsidRDefault="0076216F" w:rsidP="009870F3">
            <w:pPr>
              <w:widowControl w:val="0"/>
              <w:adjustRightInd w:val="0"/>
              <w:snapToGrid w:val="0"/>
              <w:spacing w:before="120" w:after="120" w:line="288" w:lineRule="auto"/>
              <w:jc w:val="both"/>
              <w:rPr>
                <w:rFonts w:cs="Times New Roman"/>
                <w:color w:val="000000" w:themeColor="text1"/>
                <w:sz w:val="22"/>
              </w:rPr>
            </w:pPr>
            <w:r w:rsidRPr="00E72358">
              <w:rPr>
                <w:rFonts w:cs="Times New Roman"/>
                <w:color w:val="000000" w:themeColor="text1"/>
                <w:sz w:val="22"/>
              </w:rPr>
              <w:t xml:space="preserve">The 2025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Charter specifies authority of the Board of Management in accordance with the aforesaid regulations of the Law on Enterprises. </w:t>
            </w:r>
          </w:p>
          <w:p w14:paraId="6FE03D8B" w14:textId="77777777" w:rsidR="0076216F" w:rsidRPr="00E72358" w:rsidRDefault="0076216F" w:rsidP="009870F3">
            <w:pPr>
              <w:widowControl w:val="0"/>
              <w:tabs>
                <w:tab w:val="left" w:pos="993"/>
              </w:tabs>
              <w:adjustRightInd w:val="0"/>
              <w:snapToGrid w:val="0"/>
              <w:spacing w:before="120" w:after="120" w:line="288" w:lineRule="auto"/>
              <w:jc w:val="both"/>
              <w:rPr>
                <w:rFonts w:cs="Times New Roman"/>
                <w:b/>
                <w:color w:val="000000" w:themeColor="text1"/>
                <w:sz w:val="22"/>
              </w:rPr>
            </w:pPr>
            <w:r w:rsidRPr="00E72358">
              <w:rPr>
                <w:rFonts w:cs="Times New Roman"/>
                <w:b/>
                <w:color w:val="000000" w:themeColor="text1"/>
                <w:sz w:val="22"/>
              </w:rPr>
              <w:t>2. Authority specified by the Law No. 68/2025/QH15 and the Decree No. 366/2025/ND-CP</w:t>
            </w:r>
          </w:p>
          <w:p w14:paraId="08A5F439" w14:textId="5CC7B193" w:rsidR="0076216F" w:rsidRPr="00E72358" w:rsidRDefault="0076216F" w:rsidP="009870F3">
            <w:pPr>
              <w:widowControl w:val="0"/>
              <w:adjustRightInd w:val="0"/>
              <w:snapToGrid w:val="0"/>
              <w:spacing w:before="120" w:after="120" w:line="288" w:lineRule="auto"/>
              <w:jc w:val="both"/>
              <w:rPr>
                <w:rFonts w:cs="Times New Roman"/>
                <w:color w:val="000000" w:themeColor="text1"/>
                <w:sz w:val="22"/>
              </w:rPr>
            </w:pPr>
            <w:r w:rsidRPr="00E72358">
              <w:rPr>
                <w:rFonts w:cs="Times New Roman"/>
                <w:color w:val="000000" w:themeColor="text1"/>
                <w:sz w:val="22"/>
              </w:rPr>
              <w:t>The authority of governance levels in state-owned enterprises is specified at Clauses 20.3, 21.2, 22 and 27.3 of Law No. 68/2025/QH15, and further detailed in Clauses 24.2, 25.2, 26.2 and 31.6 of the Decree No. 366/2025/N</w:t>
            </w:r>
            <w:r w:rsidR="00C74071" w:rsidRPr="00E72358">
              <w:rPr>
                <w:rFonts w:cs="Times New Roman"/>
                <w:color w:val="000000" w:themeColor="text1"/>
                <w:sz w:val="22"/>
              </w:rPr>
              <w:t>D</w:t>
            </w:r>
            <w:r w:rsidRPr="00E72358">
              <w:rPr>
                <w:rFonts w:cs="Times New Roman"/>
                <w:color w:val="000000" w:themeColor="text1"/>
                <w:sz w:val="22"/>
              </w:rPr>
              <w:t xml:space="preserve">-CP. </w:t>
            </w:r>
          </w:p>
          <w:p w14:paraId="6196EE2B" w14:textId="35FA00BE" w:rsidR="0076216F" w:rsidRPr="00E72358" w:rsidRDefault="0076216F" w:rsidP="00164B1E">
            <w:pPr>
              <w:widowControl w:val="0"/>
              <w:adjustRightInd w:val="0"/>
              <w:snapToGrid w:val="0"/>
              <w:spacing w:before="120" w:after="120" w:line="288" w:lineRule="auto"/>
              <w:jc w:val="both"/>
              <w:rPr>
                <w:rFonts w:cs="Times New Roman"/>
                <w:color w:val="000000" w:themeColor="text1"/>
                <w:sz w:val="22"/>
              </w:rPr>
            </w:pPr>
            <w:r w:rsidRPr="00E72358">
              <w:rPr>
                <w:rFonts w:cs="Times New Roman"/>
                <w:color w:val="000000" w:themeColor="text1"/>
                <w:sz w:val="22"/>
              </w:rPr>
              <w:t>According to these regulations, for “</w:t>
            </w:r>
            <w:r w:rsidR="00D72AEB" w:rsidRPr="00E72358">
              <w:rPr>
                <w:rFonts w:cs="Times New Roman"/>
                <w:i/>
                <w:color w:val="000000" w:themeColor="text1"/>
                <w:sz w:val="22"/>
              </w:rPr>
              <w:t xml:space="preserve">an </w:t>
            </w:r>
            <w:r w:rsidRPr="00E72358">
              <w:rPr>
                <w:rFonts w:cs="Times New Roman"/>
                <w:i/>
                <w:iCs/>
                <w:color w:val="000000" w:themeColor="text1"/>
                <w:sz w:val="22"/>
              </w:rPr>
              <w:t>enterprise</w:t>
            </w:r>
            <w:r w:rsidR="00D72AEB" w:rsidRPr="00E72358">
              <w:rPr>
                <w:rFonts w:cs="Times New Roman"/>
                <w:i/>
                <w:iCs/>
                <w:color w:val="000000" w:themeColor="text1"/>
                <w:sz w:val="22"/>
              </w:rPr>
              <w:t xml:space="preserve"> in</w:t>
            </w:r>
            <w:r w:rsidRPr="00E72358">
              <w:rPr>
                <w:rFonts w:cs="Times New Roman"/>
                <w:i/>
                <w:iCs/>
                <w:color w:val="000000" w:themeColor="text1"/>
                <w:sz w:val="22"/>
              </w:rPr>
              <w:t xml:space="preserve"> which </w:t>
            </w:r>
            <w:r w:rsidR="00D72AEB" w:rsidRPr="00E72358">
              <w:rPr>
                <w:rFonts w:cs="Times New Roman"/>
                <w:i/>
                <w:iCs/>
                <w:color w:val="000000" w:themeColor="text1"/>
                <w:sz w:val="22"/>
              </w:rPr>
              <w:t xml:space="preserve">the State holds </w:t>
            </w:r>
            <w:r w:rsidRPr="00E72358">
              <w:rPr>
                <w:rFonts w:cs="Times New Roman"/>
                <w:i/>
                <w:iCs/>
                <w:color w:val="000000" w:themeColor="text1"/>
                <w:sz w:val="22"/>
              </w:rPr>
              <w:t xml:space="preserve">50% </w:t>
            </w:r>
            <w:r w:rsidR="00D72AEB" w:rsidRPr="00E72358">
              <w:rPr>
                <w:rFonts w:cs="Times New Roman"/>
                <w:i/>
                <w:iCs/>
                <w:color w:val="000000" w:themeColor="text1"/>
                <w:sz w:val="22"/>
              </w:rPr>
              <w:t>and</w:t>
            </w:r>
            <w:r w:rsidRPr="00E72358">
              <w:rPr>
                <w:rFonts w:cs="Times New Roman"/>
                <w:i/>
                <w:iCs/>
                <w:color w:val="000000" w:themeColor="text1"/>
                <w:sz w:val="22"/>
              </w:rPr>
              <w:t xml:space="preserve"> less than 100% of charter capital is held by the State</w:t>
            </w:r>
            <w:r w:rsidRPr="00E72358">
              <w:rPr>
                <w:rFonts w:cs="Times New Roman"/>
                <w:color w:val="000000" w:themeColor="text1"/>
                <w:sz w:val="22"/>
              </w:rPr>
              <w:t>”, the decentralization mechanism is applied similarly to the “</w:t>
            </w:r>
            <w:r w:rsidRPr="00E72358">
              <w:rPr>
                <w:rFonts w:cs="Times New Roman"/>
                <w:i/>
                <w:iCs/>
                <w:color w:val="000000" w:themeColor="text1"/>
                <w:sz w:val="22"/>
              </w:rPr>
              <w:t>100% state-owned enterprise</w:t>
            </w:r>
            <w:r w:rsidRPr="00E72358">
              <w:rPr>
                <w:rFonts w:cs="Times New Roman"/>
                <w:color w:val="000000" w:themeColor="text1"/>
                <w:sz w:val="22"/>
              </w:rPr>
              <w:t xml:space="preserve">”. </w:t>
            </w:r>
            <w:r w:rsidRPr="00E72358">
              <w:rPr>
                <w:rFonts w:cs="Times New Roman"/>
                <w:color w:val="000000" w:themeColor="text1"/>
                <w:sz w:val="22"/>
              </w:rPr>
              <w:lastRenderedPageBreak/>
              <w:t>Accordingly, decision-making limit for key matters such as investment decisions; lease, finance lease, mortgage, pledge, acquisition and disposal of fixed assets; and transfer of investment projects and capital are determined at “</w:t>
            </w:r>
            <w:r w:rsidRPr="00E72358">
              <w:rPr>
                <w:rFonts w:cs="Times New Roman"/>
                <w:b/>
                <w:bCs/>
                <w:i/>
                <w:iCs/>
                <w:color w:val="000000" w:themeColor="text1"/>
                <w:sz w:val="22"/>
                <w:u w:val="single"/>
              </w:rPr>
              <w:t>not exceeding 50% of equity</w:t>
            </w:r>
            <w:r w:rsidRPr="00E72358">
              <w:rPr>
                <w:rFonts w:cs="Times New Roman"/>
                <w:color w:val="000000" w:themeColor="text1"/>
                <w:sz w:val="22"/>
              </w:rPr>
              <w:t>” or “</w:t>
            </w:r>
            <w:r w:rsidRPr="00E72358">
              <w:rPr>
                <w:rFonts w:cs="Times New Roman"/>
                <w:b/>
                <w:bCs/>
                <w:i/>
                <w:iCs/>
                <w:color w:val="000000" w:themeColor="text1"/>
                <w:sz w:val="22"/>
                <w:u w:val="single"/>
              </w:rPr>
              <w:t>not exceeding 50% of the owner’s invested capital in cases where equity is lower than the owner’s invested capital, but not exceeding the specific cap prescribed by the Government</w:t>
            </w:r>
            <w:r w:rsidRPr="00E72358">
              <w:rPr>
                <w:rFonts w:cs="Times New Roman"/>
                <w:color w:val="000000" w:themeColor="text1"/>
                <w:sz w:val="22"/>
              </w:rPr>
              <w:t>”.</w:t>
            </w:r>
            <w:r w:rsidRPr="00E72358">
              <w:rPr>
                <w:rFonts w:cs="Times New Roman"/>
                <w:i/>
                <w:color w:val="000000" w:themeColor="text1"/>
                <w:sz w:val="22"/>
              </w:rPr>
              <w:t xml:space="preserve"> </w:t>
            </w:r>
            <w:r w:rsidRPr="00E72358">
              <w:rPr>
                <w:rFonts w:cs="Times New Roman"/>
                <w:color w:val="000000" w:themeColor="text1"/>
                <w:sz w:val="22"/>
              </w:rPr>
              <w:t xml:space="preserve">For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the applicable cap is </w:t>
            </w:r>
            <w:r w:rsidRPr="00E72358">
              <w:rPr>
                <w:rFonts w:cs="Times New Roman"/>
                <w:b/>
                <w:bCs/>
                <w:i/>
                <w:iCs/>
                <w:color w:val="000000" w:themeColor="text1"/>
                <w:sz w:val="22"/>
                <w:u w:val="single"/>
              </w:rPr>
              <w:t>VND 5,000 billion</w:t>
            </w:r>
            <w:r w:rsidRPr="00E72358">
              <w:rPr>
                <w:rFonts w:cs="Times New Roman"/>
                <w:color w:val="000000" w:themeColor="text1"/>
                <w:sz w:val="22"/>
              </w:rPr>
              <w:t>. For example:</w:t>
            </w:r>
          </w:p>
          <w:p w14:paraId="763BE20D" w14:textId="246FDBDC" w:rsidR="0076216F" w:rsidRPr="00E72358" w:rsidRDefault="0076216F" w:rsidP="009870F3">
            <w:pPr>
              <w:widowControl w:val="0"/>
              <w:adjustRightInd w:val="0"/>
              <w:snapToGrid w:val="0"/>
              <w:spacing w:before="120" w:after="120" w:line="288" w:lineRule="auto"/>
              <w:jc w:val="both"/>
              <w:rPr>
                <w:rFonts w:cs="Times New Roman"/>
                <w:i/>
                <w:iCs/>
                <w:color w:val="000000" w:themeColor="text1"/>
                <w:sz w:val="22"/>
              </w:rPr>
            </w:pPr>
            <w:r w:rsidRPr="00E72358">
              <w:rPr>
                <w:rFonts w:cs="Times New Roman"/>
                <w:color w:val="000000" w:themeColor="text1"/>
                <w:sz w:val="22"/>
              </w:rPr>
              <w:t>Article 20.3 of the Law No. 68/2025/QH15 specifies that: “</w:t>
            </w:r>
            <w:r w:rsidRPr="00E72358">
              <w:rPr>
                <w:rFonts w:cs="Times New Roman"/>
                <w:i/>
                <w:color w:val="000000" w:themeColor="text1"/>
                <w:sz w:val="22"/>
              </w:rPr>
              <w:t xml:space="preserve">3. Except as provided in Clause 2 of this Article, the authority to decide on investment shall be as follows: a) </w:t>
            </w:r>
            <w:r w:rsidRPr="00E72358">
              <w:rPr>
                <w:rFonts w:cs="Times New Roman"/>
                <w:b/>
                <w:bCs/>
                <w:i/>
                <w:color w:val="000000" w:themeColor="text1"/>
                <w:sz w:val="22"/>
              </w:rPr>
              <w:t>The Members’ Council or the President of the company</w:t>
            </w:r>
            <w:r w:rsidRPr="00E72358">
              <w:rPr>
                <w:rFonts w:cs="Times New Roman"/>
                <w:i/>
                <w:color w:val="000000" w:themeColor="text1"/>
                <w:sz w:val="22"/>
              </w:rPr>
              <w:t xml:space="preserve"> shall decide on each investment project or investment item with an investment capital level </w:t>
            </w:r>
            <w:r w:rsidRPr="00E72358">
              <w:rPr>
                <w:rFonts w:cs="Times New Roman"/>
                <w:b/>
                <w:bCs/>
                <w:i/>
                <w:color w:val="000000" w:themeColor="text1"/>
                <w:sz w:val="22"/>
              </w:rPr>
              <w:t>not exceeding 50% of equity</w:t>
            </w:r>
            <w:r w:rsidRPr="00E72358">
              <w:rPr>
                <w:rFonts w:cs="Times New Roman"/>
                <w:i/>
                <w:color w:val="000000" w:themeColor="text1"/>
                <w:sz w:val="22"/>
              </w:rPr>
              <w:t xml:space="preserve"> or </w:t>
            </w:r>
            <w:r w:rsidRPr="00E72358">
              <w:rPr>
                <w:rFonts w:cs="Times New Roman"/>
                <w:b/>
                <w:bCs/>
                <w:i/>
                <w:color w:val="000000" w:themeColor="text1"/>
                <w:sz w:val="22"/>
              </w:rPr>
              <w:t xml:space="preserve">not exceeding 50% of the owner’s investment capital in case equity is lower than the owner’s investment </w:t>
            </w:r>
            <w:r w:rsidRPr="00E72358">
              <w:rPr>
                <w:rFonts w:cs="Times New Roman"/>
                <w:b/>
                <w:bCs/>
                <w:i/>
                <w:color w:val="000000" w:themeColor="text1"/>
                <w:sz w:val="22"/>
              </w:rPr>
              <w:lastRenderedPageBreak/>
              <w:t>capital</w:t>
            </w:r>
            <w:r w:rsidRPr="00E72358">
              <w:rPr>
                <w:rFonts w:cs="Times New Roman"/>
                <w:i/>
                <w:color w:val="000000" w:themeColor="text1"/>
                <w:sz w:val="22"/>
              </w:rPr>
              <w:t xml:space="preserve"> but not exceeding the specific limit prescribed by the Government.  </w:t>
            </w:r>
          </w:p>
          <w:p w14:paraId="725C0548" w14:textId="7B39DFB3" w:rsidR="0076216F" w:rsidRPr="00E72358" w:rsidRDefault="0076216F" w:rsidP="009870F3">
            <w:pPr>
              <w:widowControl w:val="0"/>
              <w:adjustRightInd w:val="0"/>
              <w:snapToGrid w:val="0"/>
              <w:spacing w:before="120" w:after="120" w:line="288" w:lineRule="auto"/>
              <w:jc w:val="both"/>
              <w:rPr>
                <w:rFonts w:cs="Times New Roman"/>
                <w:color w:val="000000" w:themeColor="text1"/>
                <w:sz w:val="22"/>
              </w:rPr>
            </w:pPr>
            <w:r w:rsidRPr="00E72358">
              <w:rPr>
                <w:rFonts w:cs="Times New Roman"/>
                <w:color w:val="000000" w:themeColor="text1"/>
                <w:sz w:val="22"/>
              </w:rPr>
              <w:t>Article 24.2 of the Decree No. 366/2025/N</w:t>
            </w:r>
            <w:r w:rsidR="00C74071" w:rsidRPr="00E72358">
              <w:rPr>
                <w:rFonts w:cs="Times New Roman"/>
                <w:color w:val="000000" w:themeColor="text1"/>
                <w:sz w:val="22"/>
              </w:rPr>
              <w:t>D</w:t>
            </w:r>
            <w:r w:rsidRPr="00E72358">
              <w:rPr>
                <w:rFonts w:cs="Times New Roman"/>
                <w:color w:val="000000" w:themeColor="text1"/>
                <w:sz w:val="22"/>
              </w:rPr>
              <w:t xml:space="preserve">-CP specifies that: </w:t>
            </w:r>
            <w:r w:rsidRPr="00E72358">
              <w:rPr>
                <w:rFonts w:cs="Times New Roman"/>
                <w:i/>
                <w:color w:val="000000" w:themeColor="text1"/>
                <w:sz w:val="22"/>
              </w:rPr>
              <w:t xml:space="preserve">“2. The authority to decide on investment defined at Clause 3, Article 20 of the Law on Management and Investment of State Capital in Enterprises is implemented as follows: </w:t>
            </w:r>
            <w:r w:rsidRPr="00E72358">
              <w:rPr>
                <w:rFonts w:cs="Times New Roman"/>
                <w:i/>
                <w:iCs/>
                <w:color w:val="000000" w:themeColor="text1"/>
                <w:sz w:val="22"/>
              </w:rPr>
              <w:t xml:space="preserve">a) </w:t>
            </w:r>
            <w:r w:rsidRPr="00E72358">
              <w:rPr>
                <w:rFonts w:cs="Times New Roman"/>
                <w:b/>
                <w:bCs/>
                <w:i/>
                <w:iCs/>
                <w:color w:val="000000" w:themeColor="text1"/>
                <w:sz w:val="22"/>
              </w:rPr>
              <w:t>The Members’ Council or the President of the company</w:t>
            </w:r>
            <w:r w:rsidRPr="00E72358">
              <w:rPr>
                <w:rFonts w:cs="Times New Roman"/>
                <w:i/>
                <w:iCs/>
                <w:color w:val="000000" w:themeColor="text1"/>
                <w:sz w:val="22"/>
              </w:rPr>
              <w:t xml:space="preserve"> shall decide on each investment project or item with an investment capital level </w:t>
            </w:r>
            <w:r w:rsidRPr="00E72358">
              <w:rPr>
                <w:rFonts w:cs="Times New Roman"/>
                <w:b/>
                <w:bCs/>
                <w:i/>
                <w:iCs/>
                <w:color w:val="000000" w:themeColor="text1"/>
                <w:sz w:val="22"/>
              </w:rPr>
              <w:t>not exceeding 50% of equity</w:t>
            </w:r>
            <w:r w:rsidRPr="00E72358">
              <w:rPr>
                <w:rFonts w:cs="Times New Roman"/>
                <w:i/>
                <w:iCs/>
                <w:color w:val="000000" w:themeColor="text1"/>
                <w:sz w:val="22"/>
              </w:rPr>
              <w:t xml:space="preserve"> or </w:t>
            </w:r>
            <w:r w:rsidRPr="00E72358">
              <w:rPr>
                <w:rFonts w:cs="Times New Roman"/>
                <w:b/>
                <w:bCs/>
                <w:i/>
                <w:iCs/>
                <w:color w:val="000000" w:themeColor="text1"/>
                <w:sz w:val="22"/>
              </w:rPr>
              <w:t>not exceeding 50% of the owner’s investment capital in case equity is lower than the owner’s investment capital</w:t>
            </w:r>
            <w:r w:rsidRPr="00E72358">
              <w:rPr>
                <w:rFonts w:cs="Times New Roman"/>
                <w:i/>
                <w:iCs/>
                <w:color w:val="000000" w:themeColor="text1"/>
                <w:sz w:val="22"/>
              </w:rPr>
              <w:t xml:space="preserve"> but not exceeding VND 15,000 billion for the enterprises specified at attached Appendix I herein or </w:t>
            </w:r>
            <w:r w:rsidRPr="00E72358">
              <w:rPr>
                <w:rFonts w:cs="Times New Roman"/>
                <w:b/>
                <w:bCs/>
                <w:i/>
                <w:iCs/>
                <w:color w:val="000000" w:themeColor="text1"/>
                <w:sz w:val="22"/>
              </w:rPr>
              <w:t>not exceeding VND 5,000 billion for other enterprises</w:t>
            </w:r>
            <w:r w:rsidRPr="00E72358">
              <w:rPr>
                <w:rFonts w:cs="Times New Roman"/>
                <w:i/>
                <w:iCs/>
                <w:color w:val="000000" w:themeColor="text1"/>
                <w:sz w:val="22"/>
              </w:rPr>
              <w:t>.”</w:t>
            </w:r>
          </w:p>
          <w:p w14:paraId="028C7600" w14:textId="77777777" w:rsidR="0076216F" w:rsidRPr="00E72358" w:rsidRDefault="0076216F" w:rsidP="009870F3">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 xml:space="preserve">Therefore, according to the regulations of the Law 68 and the Decree No. 366/2025/ND-CP, the authority in the cases of investment; acquisition, finance lease and </w:t>
            </w:r>
            <w:r w:rsidRPr="00E72358">
              <w:rPr>
                <w:rFonts w:cs="Times New Roman"/>
                <w:color w:val="000000" w:themeColor="text1"/>
                <w:sz w:val="22"/>
              </w:rPr>
              <w:lastRenderedPageBreak/>
              <w:t xml:space="preserve">disposal of fixed assets; and transfer of investment projects and capital under the authority of the General Meeting of Shareholders and the Board of Management shall be determined in accordance with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charter capital or invested capital in accordance with Article 4 of Law No. 68 on the application of such Law: </w:t>
            </w:r>
            <w:r w:rsidRPr="00E72358">
              <w:rPr>
                <w:rFonts w:cs="Times New Roman"/>
                <w:i/>
                <w:iCs/>
                <w:color w:val="000000" w:themeColor="text1"/>
                <w:sz w:val="22"/>
              </w:rPr>
              <w:t>“State capital management and investment at the enterprises are complied with the Law on Management and Investment of State Capital in Enterprises, matters uncovered by the Law on Management and Investment of State Capital in Enterprises shall be complied with the Law on Enterprises and other applicable laws”.</w:t>
            </w:r>
          </w:p>
          <w:p w14:paraId="61979838" w14:textId="77777777" w:rsidR="0076216F" w:rsidRPr="00E72358" w:rsidRDefault="0076216F" w:rsidP="00427044">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Amend to ensure compliance with the Law 68 and the Decree No. 366/2025/ND-CP regarding authority of the General Meeting of Shareholders and Board of Management for 03 circumstances: investment; acquisition, finance lease and disposal of fixed assets; and transfer of investment projects and capital.</w:t>
            </w:r>
          </w:p>
          <w:p w14:paraId="3B56A8E7" w14:textId="739F0D87" w:rsidR="0076216F" w:rsidRPr="00E72358" w:rsidRDefault="0076216F" w:rsidP="00427044">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 xml:space="preserve">The decision-making authority of the Board of Management for other contracts and transactions remains unchanged in accordance with the </w:t>
            </w:r>
            <w:r w:rsidRPr="00E72358">
              <w:rPr>
                <w:rFonts w:cs="Times New Roman"/>
                <w:color w:val="000000" w:themeColor="text1"/>
                <w:sz w:val="22"/>
              </w:rPr>
              <w:lastRenderedPageBreak/>
              <w:t>Law on Enterprises.</w:t>
            </w:r>
          </w:p>
        </w:tc>
      </w:tr>
      <w:tr w:rsidR="00A023F6" w:rsidRPr="00E72358" w14:paraId="1D215F5A" w14:textId="77777777" w:rsidTr="00693D24">
        <w:trPr>
          <w:trHeight w:val="20"/>
        </w:trPr>
        <w:tc>
          <w:tcPr>
            <w:tcW w:w="232" w:type="pct"/>
          </w:tcPr>
          <w:p w14:paraId="32578387" w14:textId="77777777" w:rsidR="0076216F" w:rsidRPr="00E72358" w:rsidRDefault="0076216F" w:rsidP="009120E6">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564" w:type="pct"/>
          </w:tcPr>
          <w:p w14:paraId="625DAA15" w14:textId="6D609CC2" w:rsidR="0076216F" w:rsidRPr="00E72358" w:rsidRDefault="0076216F" w:rsidP="009120E6">
            <w:pPr>
              <w:widowControl w:val="0"/>
              <w:adjustRightInd w:val="0"/>
              <w:snapToGrid w:val="0"/>
              <w:spacing w:before="60" w:after="60"/>
              <w:rPr>
                <w:rFonts w:cs="Times New Roman"/>
                <w:color w:val="000000" w:themeColor="text1"/>
                <w:sz w:val="22"/>
              </w:rPr>
            </w:pPr>
            <w:r w:rsidRPr="00E72358">
              <w:rPr>
                <w:rFonts w:cs="Times New Roman"/>
                <w:color w:val="000000" w:themeColor="text1"/>
                <w:sz w:val="22"/>
              </w:rPr>
              <w:t xml:space="preserve">Article 27, Clause 2 </w:t>
            </w:r>
          </w:p>
        </w:tc>
        <w:tc>
          <w:tcPr>
            <w:tcW w:w="1437" w:type="pct"/>
          </w:tcPr>
          <w:p w14:paraId="3E52D1E1" w14:textId="4511A099" w:rsidR="0076216F" w:rsidRPr="00E72358" w:rsidRDefault="0076216F" w:rsidP="009120E6">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rPr>
              <w:t>Not specified</w:t>
            </w:r>
          </w:p>
        </w:tc>
        <w:tc>
          <w:tcPr>
            <w:tcW w:w="1490" w:type="pct"/>
          </w:tcPr>
          <w:p w14:paraId="0A4A6DF2" w14:textId="3AD03FC1" w:rsidR="0076216F" w:rsidRPr="00E72358" w:rsidRDefault="00D91B49" w:rsidP="009120E6">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u w:val="single"/>
              </w:rPr>
              <w:t>g) Approve the acquisition, finance lease, and disposal of fixed assets with a value not exceeding 50% of equity, or 50% of the owner’s investment capital where equity is lower than the owner’s investment capital, but not exceeding the cap prescribed by the Decree No. 366/2025/N</w:t>
            </w:r>
            <w:r w:rsidR="00C74071" w:rsidRPr="00E72358">
              <w:rPr>
                <w:rFonts w:cs="Times New Roman"/>
                <w:color w:val="000000" w:themeColor="text1"/>
                <w:sz w:val="22"/>
                <w:u w:val="single"/>
              </w:rPr>
              <w:t>D</w:t>
            </w:r>
            <w:r w:rsidRPr="00E72358">
              <w:rPr>
                <w:rFonts w:cs="Times New Roman"/>
                <w:color w:val="000000" w:themeColor="text1"/>
                <w:sz w:val="22"/>
                <w:u w:val="single"/>
              </w:rPr>
              <w:t xml:space="preserve">-CP (VND 5,000 billion). Equity and the owner’s investment capital described at this point shall be determined </w:t>
            </w:r>
            <w:r w:rsidRPr="00E72358">
              <w:rPr>
                <w:rFonts w:cs="Times New Roman"/>
                <w:color w:val="000000" w:themeColor="text1"/>
                <w:sz w:val="22"/>
                <w:u w:val="single"/>
              </w:rPr>
              <w:lastRenderedPageBreak/>
              <w:t xml:space="preserve">in accordance with </w:t>
            </w:r>
            <w:proofErr w:type="spellStart"/>
            <w:r w:rsidRPr="00E72358">
              <w:rPr>
                <w:rFonts w:cs="Times New Roman"/>
                <w:color w:val="000000" w:themeColor="text1"/>
                <w:sz w:val="22"/>
                <w:u w:val="single"/>
              </w:rPr>
              <w:t>Petrolimex’s</w:t>
            </w:r>
            <w:proofErr w:type="spellEnd"/>
            <w:r w:rsidRPr="00E72358">
              <w:rPr>
                <w:rFonts w:cs="Times New Roman"/>
                <w:color w:val="000000" w:themeColor="text1"/>
                <w:sz w:val="22"/>
                <w:u w:val="single"/>
              </w:rPr>
              <w:t xml:space="preserve"> most recent standalone quarterly or annual financial statements at the time of the disposal decision. Asset value is determined in accordance with acquisition or finance lease value for acquisitions/leases of fixed assets or remaining value in accordance with the book value for disposals of fixed assets.</w:t>
            </w:r>
          </w:p>
        </w:tc>
        <w:tc>
          <w:tcPr>
            <w:tcW w:w="1277" w:type="pct"/>
            <w:vMerge/>
          </w:tcPr>
          <w:p w14:paraId="6468A225" w14:textId="77777777" w:rsidR="0076216F" w:rsidRPr="00E72358" w:rsidRDefault="0076216F" w:rsidP="00427044">
            <w:pPr>
              <w:widowControl w:val="0"/>
              <w:adjustRightInd w:val="0"/>
              <w:snapToGrid w:val="0"/>
              <w:spacing w:before="60" w:after="60"/>
              <w:jc w:val="both"/>
              <w:rPr>
                <w:rFonts w:cs="Times New Roman"/>
                <w:color w:val="000000" w:themeColor="text1"/>
                <w:sz w:val="22"/>
              </w:rPr>
            </w:pPr>
          </w:p>
        </w:tc>
      </w:tr>
      <w:tr w:rsidR="00A023F6" w:rsidRPr="00E72358" w14:paraId="66C0D21E" w14:textId="77777777" w:rsidTr="00693D24">
        <w:trPr>
          <w:trHeight w:val="20"/>
        </w:trPr>
        <w:tc>
          <w:tcPr>
            <w:tcW w:w="232" w:type="pct"/>
          </w:tcPr>
          <w:p w14:paraId="5A5629CA" w14:textId="77777777" w:rsidR="0076216F" w:rsidRPr="00E72358" w:rsidRDefault="0076216F" w:rsidP="009120E6">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564" w:type="pct"/>
          </w:tcPr>
          <w:p w14:paraId="368E1E99" w14:textId="05227604" w:rsidR="0076216F" w:rsidRPr="00E72358" w:rsidRDefault="0076216F" w:rsidP="009120E6">
            <w:pPr>
              <w:widowControl w:val="0"/>
              <w:adjustRightInd w:val="0"/>
              <w:snapToGrid w:val="0"/>
              <w:spacing w:before="60" w:after="60"/>
              <w:rPr>
                <w:rFonts w:cs="Times New Roman"/>
                <w:color w:val="000000" w:themeColor="text1"/>
                <w:sz w:val="22"/>
              </w:rPr>
            </w:pPr>
            <w:r w:rsidRPr="00E72358">
              <w:rPr>
                <w:rFonts w:cs="Times New Roman"/>
                <w:color w:val="000000" w:themeColor="text1"/>
                <w:sz w:val="22"/>
              </w:rPr>
              <w:t xml:space="preserve">Article 27, Clause 2 </w:t>
            </w:r>
          </w:p>
        </w:tc>
        <w:tc>
          <w:tcPr>
            <w:tcW w:w="1437" w:type="pct"/>
          </w:tcPr>
          <w:p w14:paraId="0538A2DC" w14:textId="386FC85E" w:rsidR="0076216F" w:rsidRPr="00E72358" w:rsidRDefault="0076216F" w:rsidP="009120E6">
            <w:pPr>
              <w:widowControl w:val="0"/>
              <w:adjustRightInd w:val="0"/>
              <w:snapToGrid w:val="0"/>
              <w:spacing w:before="60" w:after="60"/>
              <w:jc w:val="both"/>
              <w:rPr>
                <w:rFonts w:cs="Times New Roman"/>
                <w:bCs/>
                <w:iCs/>
                <w:color w:val="000000" w:themeColor="text1"/>
                <w:sz w:val="22"/>
              </w:rPr>
            </w:pPr>
            <w:r w:rsidRPr="00E72358">
              <w:rPr>
                <w:rFonts w:cs="Times New Roman"/>
                <w:color w:val="000000" w:themeColor="text1"/>
                <w:sz w:val="22"/>
              </w:rPr>
              <w:t>Not specified</w:t>
            </w:r>
          </w:p>
        </w:tc>
        <w:tc>
          <w:tcPr>
            <w:tcW w:w="1490" w:type="pct"/>
          </w:tcPr>
          <w:p w14:paraId="68CC8C24" w14:textId="173945FE" w:rsidR="0076216F" w:rsidRPr="00E72358" w:rsidRDefault="00D91B49" w:rsidP="009120E6">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u w:val="single"/>
              </w:rPr>
              <w:t xml:space="preserve">h) Decide the transfer of investment projects or capital with a value not exceeding 50% of equity, or 50% of the owner’s investment capital where equity is lower than the owner’s investment capital. Equity and the owner’s investment capital shall be determined in accordance with </w:t>
            </w:r>
            <w:proofErr w:type="spellStart"/>
            <w:r w:rsidRPr="00E72358">
              <w:rPr>
                <w:rFonts w:cs="Times New Roman"/>
                <w:color w:val="000000" w:themeColor="text1"/>
                <w:sz w:val="22"/>
                <w:u w:val="single"/>
              </w:rPr>
              <w:t>Petrolimex’s</w:t>
            </w:r>
            <w:proofErr w:type="spellEnd"/>
            <w:r w:rsidRPr="00E72358">
              <w:rPr>
                <w:rFonts w:cs="Times New Roman"/>
                <w:color w:val="000000" w:themeColor="text1"/>
                <w:sz w:val="22"/>
                <w:u w:val="single"/>
              </w:rPr>
              <w:t xml:space="preserve"> most recent standalone quarterly or annual financial statements at the time of the transfer decision. The investment capital value shall be the higher of its book value and the expected transfer price to be obtained in accordance with Clause 4, Article 26 of the Decree No. 366/2025/N</w:t>
            </w:r>
            <w:r w:rsidR="00C74071" w:rsidRPr="00E72358">
              <w:rPr>
                <w:rFonts w:cs="Times New Roman"/>
                <w:color w:val="000000" w:themeColor="text1"/>
                <w:sz w:val="22"/>
                <w:u w:val="single"/>
              </w:rPr>
              <w:t>D</w:t>
            </w:r>
            <w:r w:rsidRPr="00E72358">
              <w:rPr>
                <w:rFonts w:cs="Times New Roman"/>
                <w:color w:val="000000" w:themeColor="text1"/>
                <w:sz w:val="22"/>
                <w:u w:val="single"/>
              </w:rPr>
              <w:t>-CP.</w:t>
            </w:r>
          </w:p>
        </w:tc>
        <w:tc>
          <w:tcPr>
            <w:tcW w:w="1277" w:type="pct"/>
            <w:vMerge/>
          </w:tcPr>
          <w:p w14:paraId="0A292017" w14:textId="77777777" w:rsidR="0076216F" w:rsidRPr="00E72358" w:rsidRDefault="0076216F" w:rsidP="00427044">
            <w:pPr>
              <w:widowControl w:val="0"/>
              <w:adjustRightInd w:val="0"/>
              <w:snapToGrid w:val="0"/>
              <w:spacing w:before="60" w:after="60"/>
              <w:jc w:val="both"/>
              <w:rPr>
                <w:rFonts w:cs="Times New Roman"/>
                <w:color w:val="000000" w:themeColor="text1"/>
                <w:sz w:val="22"/>
              </w:rPr>
            </w:pPr>
          </w:p>
        </w:tc>
      </w:tr>
      <w:tr w:rsidR="00A023F6" w:rsidRPr="00E72358" w14:paraId="34082A25" w14:textId="77777777" w:rsidTr="00693D24">
        <w:trPr>
          <w:trHeight w:val="20"/>
        </w:trPr>
        <w:tc>
          <w:tcPr>
            <w:tcW w:w="232" w:type="pct"/>
          </w:tcPr>
          <w:p w14:paraId="530603CE" w14:textId="77777777" w:rsidR="0076216F" w:rsidRPr="00E72358" w:rsidRDefault="0076216F" w:rsidP="00C9180D">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564" w:type="pct"/>
          </w:tcPr>
          <w:p w14:paraId="28CCEABA" w14:textId="2AF92F2F" w:rsidR="0076216F" w:rsidRPr="00E72358" w:rsidRDefault="0076216F" w:rsidP="00C9180D">
            <w:pPr>
              <w:widowControl w:val="0"/>
              <w:adjustRightInd w:val="0"/>
              <w:snapToGrid w:val="0"/>
              <w:spacing w:before="60" w:after="60"/>
              <w:rPr>
                <w:rFonts w:cs="Times New Roman"/>
                <w:color w:val="000000" w:themeColor="text1"/>
                <w:sz w:val="22"/>
              </w:rPr>
            </w:pPr>
            <w:r w:rsidRPr="00E72358">
              <w:rPr>
                <w:rFonts w:cs="Times New Roman"/>
                <w:color w:val="000000" w:themeColor="text1"/>
                <w:sz w:val="22"/>
              </w:rPr>
              <w:t>Article 27, Clause 2, point h</w:t>
            </w:r>
          </w:p>
        </w:tc>
        <w:tc>
          <w:tcPr>
            <w:tcW w:w="1437" w:type="pct"/>
          </w:tcPr>
          <w:p w14:paraId="5855A2D5" w14:textId="3493F19F" w:rsidR="0076216F" w:rsidRPr="00E72358" w:rsidRDefault="0076216F" w:rsidP="00C9180D">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rPr>
              <w:t xml:space="preserve">Approve the sales contract, loan contract and other contracts and transactions having value from 35% of total asset value recorded in the latest financial statements of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excluding contracts, and transaction under the authority of the General Meeting of Shareholders as prescribed at </w:t>
            </w:r>
            <w:r w:rsidRPr="00E72358">
              <w:rPr>
                <w:rFonts w:cs="Times New Roman"/>
                <w:color w:val="000000" w:themeColor="text1"/>
                <w:sz w:val="22"/>
                <w:u w:val="single"/>
              </w:rPr>
              <w:t>point d, clause 2, Article 138</w:t>
            </w:r>
            <w:r w:rsidRPr="00E72358">
              <w:rPr>
                <w:rFonts w:cs="Times New Roman"/>
                <w:color w:val="000000" w:themeColor="text1"/>
                <w:sz w:val="22"/>
              </w:rPr>
              <w:t>, clauses 1 &amp; 3, Article 167 of the Law on Enterprises</w:t>
            </w:r>
          </w:p>
        </w:tc>
        <w:tc>
          <w:tcPr>
            <w:tcW w:w="1490" w:type="pct"/>
          </w:tcPr>
          <w:p w14:paraId="6854A73C" w14:textId="1616319A" w:rsidR="0076216F" w:rsidRPr="00E72358" w:rsidRDefault="0007712B" w:rsidP="00C9180D">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rPr>
              <w:t xml:space="preserve">k) Approve the sales contract, loan contract and other contracts and transactions having value from 35% of total asset value recorded in the latest financial statements of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excluding contracts and transactions under the authority of the General Meeting of Shareholders as prescribed at </w:t>
            </w:r>
            <w:r w:rsidRPr="00E72358">
              <w:rPr>
                <w:rFonts w:cs="Times New Roman"/>
                <w:color w:val="000000" w:themeColor="text1"/>
                <w:sz w:val="22"/>
                <w:u w:val="single"/>
              </w:rPr>
              <w:t>point d, clause 1, Article 15</w:t>
            </w:r>
            <w:r w:rsidRPr="00E72358">
              <w:rPr>
                <w:rFonts w:cs="Times New Roman"/>
                <w:color w:val="000000" w:themeColor="text1"/>
                <w:sz w:val="22"/>
              </w:rPr>
              <w:t xml:space="preserve"> of the Charter and clauses 1 &amp; 3, Article 167 of the Law on </w:t>
            </w:r>
            <w:r w:rsidRPr="00E72358">
              <w:rPr>
                <w:rFonts w:cs="Times New Roman"/>
                <w:color w:val="000000" w:themeColor="text1"/>
                <w:sz w:val="22"/>
              </w:rPr>
              <w:lastRenderedPageBreak/>
              <w:t>Enterprises.</w:t>
            </w:r>
          </w:p>
        </w:tc>
        <w:tc>
          <w:tcPr>
            <w:tcW w:w="1277" w:type="pct"/>
            <w:vMerge/>
          </w:tcPr>
          <w:p w14:paraId="12A08B2E" w14:textId="6F2C8115" w:rsidR="0076216F" w:rsidRPr="00E72358" w:rsidRDefault="0076216F" w:rsidP="00C9180D">
            <w:pPr>
              <w:widowControl w:val="0"/>
              <w:adjustRightInd w:val="0"/>
              <w:snapToGrid w:val="0"/>
              <w:spacing w:before="60" w:after="60"/>
              <w:jc w:val="both"/>
              <w:rPr>
                <w:rFonts w:cs="Times New Roman"/>
                <w:color w:val="000000" w:themeColor="text1"/>
                <w:sz w:val="22"/>
              </w:rPr>
            </w:pPr>
          </w:p>
        </w:tc>
      </w:tr>
      <w:tr w:rsidR="00A023F6" w:rsidRPr="00E72358" w14:paraId="464EC54B" w14:textId="77777777" w:rsidTr="00693D24">
        <w:trPr>
          <w:trHeight w:val="20"/>
        </w:trPr>
        <w:tc>
          <w:tcPr>
            <w:tcW w:w="232" w:type="pct"/>
          </w:tcPr>
          <w:p w14:paraId="70FAEC5A" w14:textId="77777777" w:rsidR="00C9180D" w:rsidRPr="00E72358" w:rsidRDefault="00C9180D" w:rsidP="00C9180D">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564" w:type="pct"/>
          </w:tcPr>
          <w:p w14:paraId="654A3E84" w14:textId="7E54E9E9" w:rsidR="00C9180D" w:rsidRPr="00E72358" w:rsidRDefault="00C9180D" w:rsidP="00C9180D">
            <w:pPr>
              <w:widowControl w:val="0"/>
              <w:adjustRightInd w:val="0"/>
              <w:snapToGrid w:val="0"/>
              <w:spacing w:before="60" w:after="60"/>
              <w:rPr>
                <w:rFonts w:cs="Times New Roman"/>
                <w:color w:val="000000" w:themeColor="text1"/>
                <w:sz w:val="22"/>
              </w:rPr>
            </w:pPr>
            <w:r w:rsidRPr="00E72358">
              <w:rPr>
                <w:rFonts w:cs="Times New Roman"/>
                <w:color w:val="000000" w:themeColor="text1"/>
                <w:sz w:val="22"/>
              </w:rPr>
              <w:t>Article 27, Clause 2, point h</w:t>
            </w:r>
          </w:p>
        </w:tc>
        <w:tc>
          <w:tcPr>
            <w:tcW w:w="1437" w:type="pct"/>
          </w:tcPr>
          <w:p w14:paraId="6C4D37AD" w14:textId="2CD7E715" w:rsidR="00C9180D" w:rsidRPr="00E72358" w:rsidRDefault="00C9180D" w:rsidP="00C9180D">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rPr>
              <w:t>Not specified</w:t>
            </w:r>
          </w:p>
        </w:tc>
        <w:tc>
          <w:tcPr>
            <w:tcW w:w="1490" w:type="pct"/>
          </w:tcPr>
          <w:p w14:paraId="4EB34B27" w14:textId="73089EE9" w:rsidR="00492E83" w:rsidRPr="00E72358" w:rsidRDefault="0007712B" w:rsidP="00C9180D">
            <w:pPr>
              <w:widowControl w:val="0"/>
              <w:adjustRightInd w:val="0"/>
              <w:snapToGrid w:val="0"/>
              <w:spacing w:before="60" w:after="60"/>
              <w:jc w:val="both"/>
              <w:rPr>
                <w:rFonts w:cs="Times New Roman"/>
                <w:bCs/>
                <w:color w:val="000000" w:themeColor="text1"/>
                <w:sz w:val="22"/>
                <w:u w:val="single"/>
              </w:rPr>
            </w:pPr>
            <w:r w:rsidRPr="00E72358">
              <w:rPr>
                <w:rFonts w:cs="Times New Roman"/>
                <w:color w:val="000000" w:themeColor="text1"/>
                <w:sz w:val="22"/>
              </w:rPr>
              <w:t>k) […] (combine with point k at section 29 above)</w:t>
            </w:r>
          </w:p>
          <w:p w14:paraId="30FB9B86" w14:textId="52FB58C8" w:rsidR="00C9180D" w:rsidRPr="00E72358" w:rsidRDefault="00C9180D" w:rsidP="00C9180D">
            <w:pPr>
              <w:widowControl w:val="0"/>
              <w:adjustRightInd w:val="0"/>
              <w:snapToGrid w:val="0"/>
              <w:spacing w:before="60" w:after="60"/>
              <w:jc w:val="both"/>
              <w:rPr>
                <w:rFonts w:cs="Times New Roman"/>
                <w:bCs/>
                <w:color w:val="000000" w:themeColor="text1"/>
                <w:sz w:val="22"/>
                <w:u w:val="single"/>
              </w:rPr>
            </w:pPr>
            <w:r w:rsidRPr="00E72358">
              <w:rPr>
                <w:rFonts w:cs="Times New Roman"/>
                <w:color w:val="000000" w:themeColor="text1"/>
                <w:sz w:val="22"/>
                <w:u w:val="single"/>
              </w:rPr>
              <w:t xml:space="preserve">The Board of Management </w:t>
            </w:r>
            <w:r w:rsidR="00D72AEB" w:rsidRPr="00E72358">
              <w:rPr>
                <w:rFonts w:cs="Times New Roman"/>
                <w:color w:val="000000" w:themeColor="text1"/>
                <w:sz w:val="22"/>
                <w:u w:val="single"/>
              </w:rPr>
              <w:t>approve</w:t>
            </w:r>
            <w:r w:rsidRPr="00E72358">
              <w:rPr>
                <w:rFonts w:cs="Times New Roman"/>
                <w:color w:val="000000" w:themeColor="text1"/>
                <w:sz w:val="22"/>
                <w:u w:val="single"/>
              </w:rPr>
              <w:t xml:space="preserve">s the contracts and transactions having value of less than 35% or transactions resulting in total transaction value within 12 months since the first transaction date, having value of less than 35% of total asset value recorded in the latest financial statements between </w:t>
            </w:r>
            <w:proofErr w:type="spellStart"/>
            <w:r w:rsidRPr="00E72358">
              <w:rPr>
                <w:rFonts w:cs="Times New Roman"/>
                <w:color w:val="000000" w:themeColor="text1"/>
                <w:sz w:val="22"/>
                <w:u w:val="single"/>
              </w:rPr>
              <w:t>Petrolimex</w:t>
            </w:r>
            <w:proofErr w:type="spellEnd"/>
            <w:r w:rsidRPr="00E72358">
              <w:rPr>
                <w:rFonts w:cs="Times New Roman"/>
                <w:color w:val="000000" w:themeColor="text1"/>
                <w:sz w:val="22"/>
                <w:u w:val="single"/>
              </w:rPr>
              <w:t xml:space="preserve"> and one of following entities:</w:t>
            </w:r>
          </w:p>
          <w:p w14:paraId="3F8A228B" w14:textId="04DF9D36" w:rsidR="00C9180D" w:rsidRPr="00E72358" w:rsidRDefault="00C9180D" w:rsidP="00C9180D">
            <w:pPr>
              <w:widowControl w:val="0"/>
              <w:adjustRightInd w:val="0"/>
              <w:snapToGrid w:val="0"/>
              <w:spacing w:before="60" w:after="60"/>
              <w:jc w:val="both"/>
              <w:rPr>
                <w:rFonts w:cs="Times New Roman"/>
                <w:bCs/>
                <w:color w:val="000000" w:themeColor="text1"/>
                <w:sz w:val="22"/>
                <w:u w:val="single"/>
              </w:rPr>
            </w:pPr>
            <w:r w:rsidRPr="00E72358">
              <w:rPr>
                <w:rFonts w:cs="Times New Roman"/>
                <w:color w:val="000000" w:themeColor="text1"/>
                <w:sz w:val="22"/>
                <w:u w:val="single"/>
              </w:rPr>
              <w:t>- The BOM members, Supervisors, General Director, other managers and their affiliated persons;</w:t>
            </w:r>
          </w:p>
          <w:p w14:paraId="315C178C" w14:textId="653A327B" w:rsidR="00C9180D" w:rsidRPr="00E72358" w:rsidRDefault="00C9180D" w:rsidP="00C9180D">
            <w:pPr>
              <w:widowControl w:val="0"/>
              <w:adjustRightInd w:val="0"/>
              <w:snapToGrid w:val="0"/>
              <w:spacing w:before="60" w:after="60"/>
              <w:jc w:val="both"/>
              <w:rPr>
                <w:rFonts w:cs="Times New Roman"/>
                <w:bCs/>
                <w:color w:val="000000" w:themeColor="text1"/>
                <w:sz w:val="22"/>
                <w:u w:val="single"/>
              </w:rPr>
            </w:pPr>
            <w:r w:rsidRPr="00E72358">
              <w:rPr>
                <w:rFonts w:cs="Times New Roman"/>
                <w:color w:val="000000" w:themeColor="text1"/>
                <w:sz w:val="22"/>
                <w:u w:val="single"/>
              </w:rPr>
              <w:t xml:space="preserve">- Shareholders, the authorized representatives of the shareholders holding over 10% of total ordinary shares of </w:t>
            </w:r>
            <w:proofErr w:type="spellStart"/>
            <w:r w:rsidRPr="00E72358">
              <w:rPr>
                <w:rFonts w:cs="Times New Roman"/>
                <w:color w:val="000000" w:themeColor="text1"/>
                <w:sz w:val="22"/>
                <w:u w:val="single"/>
              </w:rPr>
              <w:t>Petrolimex</w:t>
            </w:r>
            <w:proofErr w:type="spellEnd"/>
            <w:r w:rsidRPr="00E72358">
              <w:rPr>
                <w:rFonts w:cs="Times New Roman"/>
                <w:color w:val="000000" w:themeColor="text1"/>
                <w:sz w:val="22"/>
                <w:u w:val="single"/>
              </w:rPr>
              <w:t xml:space="preserve"> and their affiliated persons;</w:t>
            </w:r>
          </w:p>
          <w:p w14:paraId="695DCD00" w14:textId="37D6DCF2" w:rsidR="00C9180D" w:rsidRPr="00E72358" w:rsidRDefault="00C9180D" w:rsidP="00C9180D">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u w:val="single"/>
              </w:rPr>
              <w:t>- Enterprise related to the subjects specified at Clause 2, Article 164 of the Law on Enterprises.</w:t>
            </w:r>
          </w:p>
        </w:tc>
        <w:tc>
          <w:tcPr>
            <w:tcW w:w="1277" w:type="pct"/>
          </w:tcPr>
          <w:p w14:paraId="1252DA5E" w14:textId="681847CF" w:rsidR="00C9180D" w:rsidRPr="00E72358" w:rsidRDefault="00B922E7" w:rsidP="00C9180D">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 xml:space="preserve">Add the </w:t>
            </w:r>
            <w:r w:rsidRPr="00E72358">
              <w:rPr>
                <w:rFonts w:cs="Times New Roman"/>
                <w:color w:val="000000" w:themeColor="text1"/>
                <w:sz w:val="22"/>
                <w:u w:val="single"/>
              </w:rPr>
              <w:t>underline</w:t>
            </w:r>
            <w:r w:rsidRPr="00E72358">
              <w:rPr>
                <w:rFonts w:cs="Times New Roman"/>
                <w:color w:val="000000" w:themeColor="text1"/>
                <w:sz w:val="22"/>
              </w:rPr>
              <w:t xml:space="preserve"> paragraphs as the 2025 Charter does not specify the authority of the Board of Management for approval of contracts and transactions with affiliated persons as defined at Clause 2, Article 167 of the Law on Enterprises. This authority is provided at Article 13 of the </w:t>
            </w:r>
            <w:r w:rsidR="003B2ED5" w:rsidRPr="00E72358">
              <w:rPr>
                <w:rFonts w:cs="Times New Roman"/>
                <w:color w:val="000000" w:themeColor="text1"/>
                <w:sz w:val="22"/>
              </w:rPr>
              <w:t>Operation Regulation</w:t>
            </w:r>
            <w:r w:rsidRPr="00E72358">
              <w:rPr>
                <w:rFonts w:cs="Times New Roman"/>
                <w:color w:val="000000" w:themeColor="text1"/>
                <w:sz w:val="22"/>
              </w:rPr>
              <w:t xml:space="preserve"> of the Board of Management. </w:t>
            </w:r>
          </w:p>
          <w:p w14:paraId="4E8E5B3B" w14:textId="1FE78882" w:rsidR="00C9180D" w:rsidRPr="00E72358" w:rsidRDefault="00C9180D" w:rsidP="00C9180D">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 xml:space="preserve">Nevertheless, point s, clause 2, Article 27 of the 2025 Charter specifies that: </w:t>
            </w:r>
            <w:r w:rsidRPr="00E72358">
              <w:rPr>
                <w:rFonts w:cs="Times New Roman"/>
                <w:i/>
                <w:iCs/>
                <w:color w:val="000000" w:themeColor="text1"/>
                <w:sz w:val="22"/>
              </w:rPr>
              <w:t xml:space="preserve">“Other rights and obligations as prescribed by the Law on Enterprises, Law on Securities, other provisions of the law and the internal regulations of </w:t>
            </w:r>
            <w:proofErr w:type="spellStart"/>
            <w:r w:rsidRPr="00E72358">
              <w:rPr>
                <w:rFonts w:cs="Times New Roman"/>
                <w:i/>
                <w:iCs/>
                <w:color w:val="000000" w:themeColor="text1"/>
                <w:sz w:val="22"/>
              </w:rPr>
              <w:t>Petrolimex</w:t>
            </w:r>
            <w:proofErr w:type="spellEnd"/>
            <w:r w:rsidRPr="00E72358">
              <w:rPr>
                <w:rFonts w:cs="Times New Roman"/>
                <w:color w:val="000000" w:themeColor="text1"/>
                <w:sz w:val="22"/>
              </w:rPr>
              <w:t xml:space="preserve">”, however the contents at Article 13 of the BOM’s </w:t>
            </w:r>
            <w:r w:rsidR="003B2ED5" w:rsidRPr="00E72358">
              <w:rPr>
                <w:rFonts w:cs="Times New Roman"/>
                <w:color w:val="000000" w:themeColor="text1"/>
                <w:sz w:val="22"/>
              </w:rPr>
              <w:t>Operation Regulation</w:t>
            </w:r>
            <w:r w:rsidRPr="00E72358">
              <w:rPr>
                <w:rFonts w:cs="Times New Roman"/>
                <w:color w:val="000000" w:themeColor="text1"/>
                <w:sz w:val="22"/>
              </w:rPr>
              <w:t>s has contrary provisions against the Law on Enterprises “</w:t>
            </w:r>
            <w:r w:rsidRPr="00E72358">
              <w:rPr>
                <w:rFonts w:cs="Times New Roman"/>
                <w:i/>
                <w:iCs/>
                <w:color w:val="000000" w:themeColor="text1"/>
                <w:sz w:val="22"/>
                <w:u w:val="single"/>
              </w:rPr>
              <w:t>or transactions resulting in total transaction value within 12 months since the first transaction date, having value of less than 35% of total asset value recorded in the latest financial statements</w:t>
            </w:r>
            <w:r w:rsidRPr="00E72358">
              <w:rPr>
                <w:rFonts w:cs="Times New Roman"/>
                <w:color w:val="000000" w:themeColor="text1"/>
                <w:sz w:val="22"/>
                <w:u w:val="single"/>
              </w:rPr>
              <w:t xml:space="preserve">”. Therefore, in order to ensure the authority of the Board of Management, it is recommended to add the provisions at Article 27, clause 2, point h of the 2025 </w:t>
            </w:r>
            <w:r w:rsidRPr="00E72358">
              <w:rPr>
                <w:rFonts w:cs="Times New Roman"/>
                <w:color w:val="000000" w:themeColor="text1"/>
                <w:sz w:val="22"/>
                <w:u w:val="single"/>
              </w:rPr>
              <w:lastRenderedPageBreak/>
              <w:t>Charter.</w:t>
            </w:r>
          </w:p>
        </w:tc>
      </w:tr>
      <w:tr w:rsidR="00A023F6" w:rsidRPr="00E72358" w14:paraId="3444C61C" w14:textId="77777777" w:rsidTr="00693D24">
        <w:trPr>
          <w:trHeight w:val="20"/>
        </w:trPr>
        <w:tc>
          <w:tcPr>
            <w:tcW w:w="232" w:type="pct"/>
          </w:tcPr>
          <w:p w14:paraId="7CAFD34B" w14:textId="77777777" w:rsidR="00C9180D" w:rsidRPr="00E72358"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0049D611" w14:textId="2329894B" w:rsidR="00C9180D" w:rsidRPr="00E72358" w:rsidRDefault="00C9180D" w:rsidP="00C9180D">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27, Clause 2, point p</w:t>
            </w:r>
          </w:p>
        </w:tc>
        <w:tc>
          <w:tcPr>
            <w:tcW w:w="1437" w:type="pct"/>
          </w:tcPr>
          <w:p w14:paraId="2BA5FA5B" w14:textId="34F372C2" w:rsidR="00C9180D" w:rsidRPr="00E72358" w:rsidRDefault="00C9180D" w:rsidP="00D72AEB">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Recommen</w:t>
            </w:r>
            <w:r w:rsidR="00C74071" w:rsidRPr="00E72358">
              <w:rPr>
                <w:rFonts w:cs="Times New Roman"/>
                <w:color w:val="000000" w:themeColor="text1"/>
                <w:sz w:val="22"/>
              </w:rPr>
              <w:t xml:space="preserve">d </w:t>
            </w:r>
            <w:proofErr w:type="gramStart"/>
            <w:r w:rsidR="00C74071" w:rsidRPr="00E72358">
              <w:rPr>
                <w:rFonts w:cs="Times New Roman"/>
                <w:color w:val="000000" w:themeColor="text1"/>
                <w:sz w:val="22"/>
              </w:rPr>
              <w:t>to launch</w:t>
            </w:r>
            <w:proofErr w:type="gramEnd"/>
            <w:r w:rsidRPr="00E72358">
              <w:rPr>
                <w:rFonts w:cs="Times New Roman"/>
                <w:color w:val="000000" w:themeColor="text1"/>
                <w:sz w:val="22"/>
              </w:rPr>
              <w:t xml:space="preserve"> the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reorganization, dissolution; </w:t>
            </w:r>
            <w:r w:rsidR="00D72AEB" w:rsidRPr="00E72358">
              <w:rPr>
                <w:rFonts w:cs="Times New Roman"/>
                <w:color w:val="000000" w:themeColor="text1"/>
                <w:sz w:val="22"/>
              </w:rPr>
              <w:t>petition for bankruptcy</w:t>
            </w:r>
            <w:r w:rsidRPr="00E72358">
              <w:rPr>
                <w:rFonts w:cs="Times New Roman"/>
                <w:color w:val="000000" w:themeColor="text1"/>
                <w:sz w:val="22"/>
              </w:rPr>
              <w:t>.</w:t>
            </w:r>
          </w:p>
        </w:tc>
        <w:tc>
          <w:tcPr>
            <w:tcW w:w="1490" w:type="pct"/>
          </w:tcPr>
          <w:p w14:paraId="19824709" w14:textId="5920F0A0" w:rsidR="00C9180D" w:rsidRPr="00E72358" w:rsidRDefault="00EB17F4" w:rsidP="00C9180D">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r) Recommend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reorganization and dissolution; requirements of application of </w:t>
            </w:r>
            <w:proofErr w:type="spellStart"/>
            <w:r w:rsidRPr="00E72358">
              <w:rPr>
                <w:rFonts w:cs="Times New Roman"/>
                <w:color w:val="000000" w:themeColor="text1"/>
                <w:sz w:val="22"/>
                <w:u w:val="single"/>
              </w:rPr>
              <w:t>Petrolimex</w:t>
            </w:r>
            <w:proofErr w:type="spellEnd"/>
            <w:r w:rsidRPr="00E72358">
              <w:rPr>
                <w:rFonts w:cs="Times New Roman"/>
                <w:color w:val="000000" w:themeColor="text1"/>
                <w:sz w:val="22"/>
                <w:u w:val="single"/>
              </w:rPr>
              <w:t xml:space="preserve"> recovery procedures as prescribed by the law on recovery and bankruptcy.</w:t>
            </w:r>
          </w:p>
        </w:tc>
        <w:tc>
          <w:tcPr>
            <w:tcW w:w="1277" w:type="pct"/>
          </w:tcPr>
          <w:p w14:paraId="35EBDB31" w14:textId="0EFAC803"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The contents are amended by the </w:t>
            </w:r>
            <w:r w:rsidRPr="00E72358">
              <w:rPr>
                <w:rFonts w:cs="Times New Roman"/>
                <w:color w:val="000000" w:themeColor="text1"/>
                <w:sz w:val="22"/>
                <w:u w:val="single"/>
              </w:rPr>
              <w:t>underlined</w:t>
            </w:r>
            <w:r w:rsidRPr="00E72358">
              <w:rPr>
                <w:rFonts w:cs="Times New Roman"/>
                <w:color w:val="000000" w:themeColor="text1"/>
                <w:sz w:val="22"/>
              </w:rPr>
              <w:t xml:space="preserve"> words in accordance with Article 24, Clause 1, </w:t>
            </w:r>
            <w:proofErr w:type="gramStart"/>
            <w:r w:rsidRPr="00E72358">
              <w:rPr>
                <w:rFonts w:cs="Times New Roman"/>
                <w:color w:val="000000" w:themeColor="text1"/>
                <w:sz w:val="22"/>
              </w:rPr>
              <w:t>point</w:t>
            </w:r>
            <w:proofErr w:type="gramEnd"/>
            <w:r w:rsidRPr="00E72358">
              <w:rPr>
                <w:rFonts w:cs="Times New Roman"/>
                <w:color w:val="000000" w:themeColor="text1"/>
                <w:sz w:val="22"/>
              </w:rPr>
              <w:t xml:space="preserve"> b of the 2025 Law on Recovery and Bankruptcy. According to the new regulations, the Board of Management of the Joint Stock Company is only authorized to submit the request of recovery procedure application. For the bankruptcy procedures, </w:t>
            </w:r>
            <w:r w:rsidRPr="00E72358">
              <w:rPr>
                <w:rFonts w:cs="Times New Roman"/>
                <w:i/>
                <w:iCs/>
                <w:color w:val="000000" w:themeColor="text1"/>
                <w:sz w:val="22"/>
              </w:rPr>
              <w:t>“Shareholders or group of shareholders holding 20% of ordinary shares or more or smaller percent as specified by the Charter” (Article 38, Clause 1, point c).</w:t>
            </w:r>
            <w:r w:rsidRPr="00E72358">
              <w:rPr>
                <w:rFonts w:cs="Times New Roman"/>
                <w:i/>
                <w:color w:val="000000" w:themeColor="text1"/>
                <w:sz w:val="22"/>
              </w:rPr>
              <w:t xml:space="preserve"> </w:t>
            </w:r>
            <w:r w:rsidRPr="00E72358">
              <w:rPr>
                <w:rFonts w:cs="Times New Roman"/>
                <w:color w:val="000000" w:themeColor="text1"/>
                <w:sz w:val="22"/>
              </w:rPr>
              <w:t>However, Article 15 of the Draft Charter regarding “Rights and obligations of the General Meeting of Shareholders” specifies that: “Other issues as stipulated by the laws and this Charter”. Authority petition for bankruptcy arises only when the enterprise becomes insolvent.</w:t>
            </w:r>
            <w:r w:rsidRPr="00E72358">
              <w:rPr>
                <w:rFonts w:cs="Times New Roman"/>
                <w:i/>
                <w:color w:val="000000" w:themeColor="text1"/>
                <w:sz w:val="22"/>
              </w:rPr>
              <w:t xml:space="preserve"> </w:t>
            </w:r>
          </w:p>
        </w:tc>
      </w:tr>
      <w:tr w:rsidR="00A023F6" w:rsidRPr="00E72358" w14:paraId="62739EA3" w14:textId="77777777" w:rsidTr="00693D24">
        <w:trPr>
          <w:trHeight w:val="20"/>
        </w:trPr>
        <w:tc>
          <w:tcPr>
            <w:tcW w:w="232" w:type="pct"/>
          </w:tcPr>
          <w:p w14:paraId="7D4B3F92" w14:textId="77777777" w:rsidR="00C9180D" w:rsidRPr="00E72358" w:rsidRDefault="00C9180D" w:rsidP="00C9180D">
            <w:pPr>
              <w:pStyle w:val="ListParagraph"/>
              <w:widowControl w:val="0"/>
              <w:numPr>
                <w:ilvl w:val="0"/>
                <w:numId w:val="10"/>
              </w:numPr>
              <w:adjustRightInd w:val="0"/>
              <w:snapToGrid w:val="0"/>
              <w:spacing w:before="60" w:after="60"/>
              <w:ind w:left="473"/>
              <w:contextualSpacing w:val="0"/>
              <w:jc w:val="center"/>
              <w:rPr>
                <w:rFonts w:cs="Times New Roman"/>
                <w:color w:val="000000" w:themeColor="text1"/>
                <w:sz w:val="22"/>
              </w:rPr>
            </w:pPr>
          </w:p>
        </w:tc>
        <w:tc>
          <w:tcPr>
            <w:tcW w:w="564" w:type="pct"/>
          </w:tcPr>
          <w:p w14:paraId="4AD2BF98" w14:textId="4B2D7B92" w:rsidR="00C9180D" w:rsidRPr="00E72358" w:rsidRDefault="00C9180D" w:rsidP="00C9180D">
            <w:pPr>
              <w:widowControl w:val="0"/>
              <w:adjustRightInd w:val="0"/>
              <w:snapToGrid w:val="0"/>
              <w:spacing w:before="60" w:after="60"/>
              <w:rPr>
                <w:rFonts w:cs="Times New Roman"/>
                <w:color w:val="000000" w:themeColor="text1"/>
                <w:sz w:val="22"/>
              </w:rPr>
            </w:pPr>
            <w:r w:rsidRPr="00E72358">
              <w:rPr>
                <w:rFonts w:cs="Times New Roman"/>
                <w:color w:val="000000" w:themeColor="text1"/>
                <w:sz w:val="22"/>
              </w:rPr>
              <w:t>Article 32, Clause 3, Points c and d.</w:t>
            </w:r>
          </w:p>
        </w:tc>
        <w:tc>
          <w:tcPr>
            <w:tcW w:w="1437" w:type="pct"/>
          </w:tcPr>
          <w:p w14:paraId="10CD6837" w14:textId="1CD392E5" w:rsidR="00C9180D" w:rsidRPr="00E72358" w:rsidRDefault="00C9180D" w:rsidP="00C9180D">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rPr>
              <w:t>c) Provide advice on procedures of meetings;</w:t>
            </w:r>
          </w:p>
          <w:p w14:paraId="120D184B" w14:textId="5DBFB630" w:rsidR="00C9180D" w:rsidRPr="00E72358" w:rsidRDefault="00C9180D" w:rsidP="00C9180D">
            <w:pPr>
              <w:widowControl w:val="0"/>
              <w:adjustRightInd w:val="0"/>
              <w:snapToGrid w:val="0"/>
              <w:spacing w:before="60" w:after="60"/>
              <w:jc w:val="both"/>
              <w:rPr>
                <w:rFonts w:cs="Times New Roman"/>
                <w:bCs/>
                <w:color w:val="000000" w:themeColor="text1"/>
                <w:sz w:val="22"/>
              </w:rPr>
            </w:pPr>
            <w:r w:rsidRPr="00E72358">
              <w:rPr>
                <w:rFonts w:cs="Times New Roman"/>
                <w:color w:val="000000" w:themeColor="text1"/>
                <w:sz w:val="22"/>
              </w:rPr>
              <w:t>d) Attend the meetings;</w:t>
            </w:r>
          </w:p>
        </w:tc>
        <w:tc>
          <w:tcPr>
            <w:tcW w:w="1490" w:type="pct"/>
          </w:tcPr>
          <w:p w14:paraId="73629157" w14:textId="7B38EFC5" w:rsidR="00C9180D" w:rsidRPr="00E72358" w:rsidRDefault="00C9180D" w:rsidP="00C9180D">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 xml:space="preserve">c) Provide advice on procedures of </w:t>
            </w:r>
            <w:r w:rsidRPr="00E72358">
              <w:rPr>
                <w:rFonts w:cs="Times New Roman"/>
                <w:color w:val="000000" w:themeColor="text1"/>
                <w:sz w:val="22"/>
                <w:u w:val="single"/>
              </w:rPr>
              <w:t>meetings of Board of Management and the General Meeting of Shareholders;</w:t>
            </w:r>
          </w:p>
          <w:p w14:paraId="1B69A235" w14:textId="52534FC7" w:rsidR="00C9180D" w:rsidRPr="00E72358" w:rsidRDefault="00C9180D" w:rsidP="00C9180D">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t xml:space="preserve">d) Attend the meetings of </w:t>
            </w:r>
            <w:r w:rsidRPr="00E72358">
              <w:rPr>
                <w:rFonts w:cs="Times New Roman"/>
                <w:color w:val="000000" w:themeColor="text1"/>
                <w:sz w:val="22"/>
                <w:u w:val="single"/>
              </w:rPr>
              <w:t xml:space="preserve">Board of </w:t>
            </w:r>
            <w:r w:rsidRPr="00E72358">
              <w:rPr>
                <w:rFonts w:cs="Times New Roman"/>
                <w:color w:val="000000" w:themeColor="text1"/>
                <w:sz w:val="22"/>
                <w:u w:val="single"/>
              </w:rPr>
              <w:lastRenderedPageBreak/>
              <w:t>Management and the General Meeting of Shareholders;</w:t>
            </w:r>
          </w:p>
        </w:tc>
        <w:tc>
          <w:tcPr>
            <w:tcW w:w="1277" w:type="pct"/>
          </w:tcPr>
          <w:p w14:paraId="3E807E21" w14:textId="7A8641EF" w:rsidR="00C9180D" w:rsidRPr="00E72358" w:rsidRDefault="00C9180D" w:rsidP="0091386A">
            <w:pPr>
              <w:widowControl w:val="0"/>
              <w:adjustRightInd w:val="0"/>
              <w:snapToGrid w:val="0"/>
              <w:spacing w:before="60" w:after="60"/>
              <w:jc w:val="both"/>
              <w:rPr>
                <w:rFonts w:cs="Times New Roman"/>
                <w:color w:val="000000" w:themeColor="text1"/>
                <w:sz w:val="22"/>
              </w:rPr>
            </w:pPr>
            <w:r w:rsidRPr="00E72358">
              <w:rPr>
                <w:rFonts w:cs="Times New Roman"/>
                <w:color w:val="000000" w:themeColor="text1"/>
                <w:sz w:val="22"/>
              </w:rPr>
              <w:lastRenderedPageBreak/>
              <w:t xml:space="preserve">Add the </w:t>
            </w:r>
            <w:r w:rsidRPr="00E72358">
              <w:rPr>
                <w:rFonts w:cs="Times New Roman"/>
                <w:color w:val="000000" w:themeColor="text1"/>
                <w:sz w:val="22"/>
                <w:u w:val="single"/>
              </w:rPr>
              <w:t>underlined</w:t>
            </w:r>
            <w:r w:rsidRPr="00E72358">
              <w:rPr>
                <w:rFonts w:cs="Times New Roman"/>
                <w:color w:val="000000" w:themeColor="text1"/>
                <w:sz w:val="22"/>
              </w:rPr>
              <w:t xml:space="preserve"> words to clarify the meetings that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w:t>
            </w:r>
            <w:r w:rsidR="0091386A" w:rsidRPr="00E72358">
              <w:rPr>
                <w:rFonts w:cs="Times New Roman"/>
                <w:color w:val="000000" w:themeColor="text1"/>
                <w:sz w:val="22"/>
              </w:rPr>
              <w:t>corporate governance officer</w:t>
            </w:r>
            <w:r w:rsidRPr="00E72358">
              <w:rPr>
                <w:rFonts w:cs="Times New Roman"/>
                <w:color w:val="000000" w:themeColor="text1"/>
                <w:sz w:val="22"/>
              </w:rPr>
              <w:t xml:space="preserve"> must advise and participate. </w:t>
            </w:r>
          </w:p>
        </w:tc>
      </w:tr>
      <w:tr w:rsidR="00A023F6" w:rsidRPr="00E72358" w14:paraId="58BBA9B0" w14:textId="508B8E4E" w:rsidTr="00693D24">
        <w:trPr>
          <w:trHeight w:val="20"/>
        </w:trPr>
        <w:tc>
          <w:tcPr>
            <w:tcW w:w="232" w:type="pct"/>
          </w:tcPr>
          <w:p w14:paraId="7D567150" w14:textId="77777777" w:rsidR="00C9180D" w:rsidRPr="00E72358"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784617E6" w14:textId="4895C46A" w:rsidR="00C9180D" w:rsidRPr="00E72358" w:rsidRDefault="00C9180D" w:rsidP="00C9180D">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46, Clause 1</w:t>
            </w:r>
          </w:p>
        </w:tc>
        <w:tc>
          <w:tcPr>
            <w:tcW w:w="1437" w:type="pct"/>
          </w:tcPr>
          <w:p w14:paraId="340FCCEA" w14:textId="77777777" w:rsidR="00C9180D" w:rsidRPr="00E72358" w:rsidRDefault="00C9180D" w:rsidP="00C9180D">
            <w:pPr>
              <w:widowControl w:val="0"/>
              <w:adjustRightInd w:val="0"/>
              <w:snapToGrid w:val="0"/>
              <w:spacing w:before="60" w:after="60" w:line="276" w:lineRule="auto"/>
              <w:jc w:val="both"/>
              <w:rPr>
                <w:rFonts w:cs="Times New Roman"/>
                <w:b/>
                <w:bCs/>
                <w:color w:val="000000" w:themeColor="text1"/>
                <w:sz w:val="22"/>
              </w:rPr>
            </w:pPr>
            <w:r w:rsidRPr="00E72358">
              <w:rPr>
                <w:rFonts w:cs="Times New Roman"/>
                <w:b/>
                <w:color w:val="000000" w:themeColor="text1"/>
                <w:sz w:val="22"/>
              </w:rPr>
              <w:t>Article 46. Profit distribution</w:t>
            </w:r>
          </w:p>
          <w:p w14:paraId="5D34F84F" w14:textId="77777777"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1. The General Meeting of Shareholders approves the annual dividend and profit distribution in accordance with following sequence: </w:t>
            </w:r>
          </w:p>
          <w:p w14:paraId="5426DD98" w14:textId="77777777"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 Profit distribution to the affiliated contributors as specified by the signed economic contract (if any); </w:t>
            </w:r>
          </w:p>
          <w:p w14:paraId="720FE376" w14:textId="77777777"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Offset against the previous years’ losses which expiry to be deducted from pre-tax profit as prescribed;</w:t>
            </w:r>
          </w:p>
          <w:p w14:paraId="66961E80" w14:textId="77777777"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Deduction of at most 30% into the Enterprise's Investment and Development Fund;</w:t>
            </w:r>
          </w:p>
          <w:p w14:paraId="281CFF6D" w14:textId="77777777"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Deduction of the Bonus and Welfare Fund to the employees, the Bonus Fund for the Enterprise’s managers as prescribed by the Government On labor, salary, remuneration and bonus management in the State-owned;</w:t>
            </w:r>
          </w:p>
          <w:p w14:paraId="7B7FB3CA" w14:textId="77777777"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Remaining profit to be used to pay dividends and earnings in cash to the shareholders and capital contributors. For the dividends and profits received in cash for the State fund in the enterprise, payment is made to the State Budget as prescribed.</w:t>
            </w:r>
          </w:p>
        </w:tc>
        <w:tc>
          <w:tcPr>
            <w:tcW w:w="1490" w:type="pct"/>
          </w:tcPr>
          <w:p w14:paraId="6D213940" w14:textId="77777777" w:rsidR="00C9180D" w:rsidRPr="00E72358" w:rsidRDefault="00C9180D" w:rsidP="00C9180D">
            <w:pPr>
              <w:widowControl w:val="0"/>
              <w:adjustRightInd w:val="0"/>
              <w:snapToGrid w:val="0"/>
              <w:spacing w:before="60" w:after="60" w:line="276" w:lineRule="auto"/>
              <w:jc w:val="both"/>
              <w:rPr>
                <w:rFonts w:cs="Times New Roman"/>
                <w:color w:val="000000" w:themeColor="text1"/>
                <w:sz w:val="22"/>
                <w:u w:val="single"/>
              </w:rPr>
            </w:pPr>
            <w:r w:rsidRPr="00E72358">
              <w:rPr>
                <w:rFonts w:cs="Times New Roman"/>
                <w:b/>
                <w:color w:val="000000" w:themeColor="text1"/>
                <w:sz w:val="22"/>
                <w:u w:val="single"/>
              </w:rPr>
              <w:t>Article 46. Retained profit distribution</w:t>
            </w:r>
          </w:p>
          <w:p w14:paraId="2E9E499B" w14:textId="77777777" w:rsidR="00C9180D" w:rsidRPr="00E72358" w:rsidRDefault="00C9180D" w:rsidP="00C9180D">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1. The General Meeting of Shareholders approves the annual dividend and profit distribution in accordance with following sequence: </w:t>
            </w:r>
          </w:p>
          <w:p w14:paraId="097A94CE" w14:textId="77777777" w:rsidR="00C9180D" w:rsidRPr="00E72358" w:rsidRDefault="00C9180D" w:rsidP="00C9180D">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 Profit distribution to the affiliated contributors as specified by the signed economic contract (if any); </w:t>
            </w:r>
          </w:p>
          <w:p w14:paraId="3EAB5FFA" w14:textId="77777777" w:rsidR="00C9180D" w:rsidRPr="00E72358" w:rsidRDefault="00C9180D" w:rsidP="00C9180D">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Offset against the previous years’ losses which expiry to be deducted from pre-tax profit as prescribed;</w:t>
            </w:r>
          </w:p>
          <w:p w14:paraId="4F8DDC0D" w14:textId="6EBA5353" w:rsidR="00C9180D" w:rsidRPr="00E72358" w:rsidRDefault="00C9180D" w:rsidP="00C9180D">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 </w:t>
            </w:r>
            <w:r w:rsidRPr="00E72358">
              <w:rPr>
                <w:rFonts w:cs="Times New Roman"/>
                <w:color w:val="000000" w:themeColor="text1"/>
                <w:sz w:val="22"/>
                <w:u w:val="single"/>
              </w:rPr>
              <w:t>Appropriate up to 50% to the Investment &amp; Development Fund for business expansion and charter capital supplementation;</w:t>
            </w:r>
          </w:p>
          <w:p w14:paraId="103FBD96" w14:textId="2E609B13" w:rsidR="00C9180D" w:rsidRPr="00E72358" w:rsidRDefault="00C9180D" w:rsidP="00C9180D">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 Appropriate to the </w:t>
            </w:r>
            <w:r w:rsidRPr="00E72358">
              <w:rPr>
                <w:rFonts w:cs="Times New Roman"/>
                <w:color w:val="000000" w:themeColor="text1"/>
                <w:sz w:val="22"/>
                <w:u w:val="single"/>
              </w:rPr>
              <w:t>Bonus and Welfare Fund in accordance with applicable laws;</w:t>
            </w:r>
          </w:p>
          <w:p w14:paraId="5C50A0D2" w14:textId="07A69D37"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 Remaining profit to be used to </w:t>
            </w:r>
            <w:r w:rsidR="0091386A" w:rsidRPr="00E72358">
              <w:rPr>
                <w:rFonts w:cs="Times New Roman"/>
                <w:color w:val="000000" w:themeColor="text1"/>
                <w:sz w:val="22"/>
              </w:rPr>
              <w:t xml:space="preserve">distribute the remaining profits entirely as cash dividends and profit distributions </w:t>
            </w:r>
            <w:r w:rsidRPr="00E72358">
              <w:rPr>
                <w:rFonts w:cs="Times New Roman"/>
                <w:color w:val="000000" w:themeColor="text1"/>
                <w:sz w:val="22"/>
              </w:rPr>
              <w:t xml:space="preserve">to the shareholders. </w:t>
            </w:r>
          </w:p>
          <w:p w14:paraId="048A44F4" w14:textId="77777777" w:rsidR="00C9180D" w:rsidRPr="00E72358" w:rsidRDefault="00C9180D" w:rsidP="00C9180D">
            <w:pPr>
              <w:widowControl w:val="0"/>
              <w:adjustRightInd w:val="0"/>
              <w:snapToGrid w:val="0"/>
              <w:spacing w:before="60" w:after="60" w:line="276" w:lineRule="auto"/>
              <w:jc w:val="both"/>
              <w:rPr>
                <w:rFonts w:cs="Times New Roman"/>
                <w:bCs/>
                <w:color w:val="000000" w:themeColor="text1"/>
                <w:sz w:val="22"/>
                <w:u w:val="single"/>
              </w:rPr>
            </w:pPr>
            <w:r w:rsidRPr="00E72358">
              <w:rPr>
                <w:rFonts w:cs="Times New Roman"/>
                <w:color w:val="000000" w:themeColor="text1"/>
                <w:sz w:val="22"/>
                <w:u w:val="single"/>
              </w:rPr>
              <w:t xml:space="preserve">- Cash-based profits and dividends received corresponding to the State’s ownership interest in the enterprise shall be remitted to the state budget. </w:t>
            </w:r>
          </w:p>
          <w:p w14:paraId="547E18CC" w14:textId="45D7E44B" w:rsidR="00C9180D" w:rsidRPr="00E72358" w:rsidRDefault="00C9180D" w:rsidP="00C9180D">
            <w:pPr>
              <w:widowControl w:val="0"/>
              <w:adjustRightInd w:val="0"/>
              <w:snapToGrid w:val="0"/>
              <w:spacing w:before="60" w:after="60" w:line="276" w:lineRule="auto"/>
              <w:jc w:val="both"/>
              <w:rPr>
                <w:rFonts w:cs="Times New Roman"/>
                <w:bCs/>
                <w:color w:val="000000" w:themeColor="text1"/>
                <w:sz w:val="22"/>
                <w:u w:val="single"/>
              </w:rPr>
            </w:pPr>
            <w:r w:rsidRPr="00E72358">
              <w:rPr>
                <w:rFonts w:cs="Times New Roman"/>
                <w:color w:val="000000" w:themeColor="text1"/>
                <w:sz w:val="22"/>
                <w:u w:val="single"/>
              </w:rPr>
              <w:t xml:space="preserve">The enterprise may declare stock </w:t>
            </w:r>
            <w:r w:rsidRPr="00E72358">
              <w:rPr>
                <w:rFonts w:cs="Times New Roman"/>
                <w:color w:val="000000" w:themeColor="text1"/>
                <w:sz w:val="22"/>
                <w:u w:val="single"/>
              </w:rPr>
              <w:lastRenderedPageBreak/>
              <w:t>dividends and use the retained profits attributable to the State’s ownership interest where additional capital is required for project investment.</w:t>
            </w:r>
          </w:p>
          <w:p w14:paraId="7858D551" w14:textId="1E4191AB"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u w:val="single"/>
              </w:rPr>
              <w:t xml:space="preserve"> The declaration of stock dividends and the use of retained profits attributable to the State’s ownership interest for reinvestment as State capital in the enterprise shall comply with the Government’s regulations.</w:t>
            </w:r>
          </w:p>
        </w:tc>
        <w:tc>
          <w:tcPr>
            <w:tcW w:w="1277" w:type="pct"/>
          </w:tcPr>
          <w:p w14:paraId="14A9FF81" w14:textId="5442C45D"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lastRenderedPageBreak/>
              <w:t xml:space="preserve">Amend and add with the </w:t>
            </w:r>
            <w:r w:rsidRPr="00E72358">
              <w:rPr>
                <w:rFonts w:cs="Times New Roman"/>
                <w:color w:val="000000" w:themeColor="text1"/>
                <w:sz w:val="22"/>
                <w:u w:val="single"/>
              </w:rPr>
              <w:t>underlined</w:t>
            </w:r>
            <w:r w:rsidRPr="00E72358">
              <w:rPr>
                <w:rFonts w:cs="Times New Roman"/>
                <w:color w:val="000000" w:themeColor="text1"/>
                <w:sz w:val="22"/>
              </w:rPr>
              <w:t xml:space="preserve"> words to ensure compliance with Article 27, Clause 2, point e, Article 25, clause 2 of the Law 68 and Article 29 of the Decree No. 366/2025/ND-CP. </w:t>
            </w:r>
          </w:p>
        </w:tc>
      </w:tr>
      <w:tr w:rsidR="00A023F6" w:rsidRPr="00E72358" w14:paraId="3273A55A" w14:textId="73598071" w:rsidTr="00693D24">
        <w:trPr>
          <w:trHeight w:val="20"/>
        </w:trPr>
        <w:tc>
          <w:tcPr>
            <w:tcW w:w="232" w:type="pct"/>
          </w:tcPr>
          <w:p w14:paraId="45E3A7F6" w14:textId="77777777" w:rsidR="00C9180D" w:rsidRPr="00E72358"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49AF4F66" w14:textId="75B64AE9" w:rsidR="00C9180D" w:rsidRPr="00E72358" w:rsidRDefault="00C9180D" w:rsidP="00C9180D">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Name of Chapter VI</w:t>
            </w:r>
          </w:p>
        </w:tc>
        <w:tc>
          <w:tcPr>
            <w:tcW w:w="1437" w:type="pct"/>
          </w:tcPr>
          <w:p w14:paraId="6585DD62" w14:textId="1DE9FC08" w:rsidR="00C9180D" w:rsidRPr="00E72358" w:rsidRDefault="00C9180D" w:rsidP="0091386A">
            <w:pPr>
              <w:widowControl w:val="0"/>
              <w:adjustRightInd w:val="0"/>
              <w:snapToGrid w:val="0"/>
              <w:spacing w:before="60" w:after="60" w:line="276" w:lineRule="auto"/>
              <w:jc w:val="both"/>
              <w:rPr>
                <w:rFonts w:cs="Times New Roman"/>
                <w:b/>
                <w:bCs/>
                <w:color w:val="000000" w:themeColor="text1"/>
                <w:sz w:val="22"/>
              </w:rPr>
            </w:pPr>
            <w:r w:rsidRPr="00E72358">
              <w:rPr>
                <w:rFonts w:cs="Times New Roman"/>
                <w:b/>
                <w:color w:val="000000" w:themeColor="text1"/>
                <w:sz w:val="22"/>
              </w:rPr>
              <w:t xml:space="preserve">CHAPTER VI. FINANCIAL STATEMENTS, ANNUAL REPORT AND RESPONSIBILITIES FOR </w:t>
            </w:r>
            <w:r w:rsidR="0091386A" w:rsidRPr="00E72358">
              <w:rPr>
                <w:rFonts w:cs="Times New Roman"/>
                <w:b/>
                <w:color w:val="000000" w:themeColor="text1"/>
                <w:sz w:val="22"/>
              </w:rPr>
              <w:t>INFORMATION</w:t>
            </w:r>
            <w:r w:rsidRPr="00E72358">
              <w:rPr>
                <w:rFonts w:cs="Times New Roman"/>
                <w:b/>
                <w:color w:val="000000" w:themeColor="text1"/>
                <w:sz w:val="22"/>
              </w:rPr>
              <w:t xml:space="preserve"> DISCLOSURES</w:t>
            </w:r>
          </w:p>
        </w:tc>
        <w:tc>
          <w:tcPr>
            <w:tcW w:w="1490" w:type="pct"/>
          </w:tcPr>
          <w:p w14:paraId="5B8AF6EE" w14:textId="450EDD97" w:rsidR="00C9180D" w:rsidRPr="00E72358" w:rsidRDefault="00C9180D" w:rsidP="00C9180D">
            <w:pPr>
              <w:widowControl w:val="0"/>
              <w:adjustRightInd w:val="0"/>
              <w:snapToGrid w:val="0"/>
              <w:spacing w:before="60" w:after="60" w:line="276" w:lineRule="auto"/>
              <w:jc w:val="both"/>
              <w:rPr>
                <w:rFonts w:cs="Times New Roman"/>
                <w:b/>
                <w:color w:val="000000" w:themeColor="text1"/>
                <w:sz w:val="22"/>
                <w:u w:val="single"/>
              </w:rPr>
            </w:pPr>
            <w:r w:rsidRPr="00E72358">
              <w:rPr>
                <w:rFonts w:cs="Times New Roman"/>
                <w:b/>
                <w:color w:val="000000" w:themeColor="text1"/>
                <w:sz w:val="22"/>
              </w:rPr>
              <w:t xml:space="preserve">CHAPTER VI. FINANCIAL STATEMENTS, ANNUAL REPORT, </w:t>
            </w:r>
            <w:r w:rsidRPr="00E72358">
              <w:rPr>
                <w:rFonts w:cs="Times New Roman"/>
                <w:b/>
                <w:color w:val="000000" w:themeColor="text1"/>
                <w:sz w:val="22"/>
                <w:u w:val="single"/>
              </w:rPr>
              <w:t>OTHER REPORTS</w:t>
            </w:r>
            <w:r w:rsidRPr="00E72358">
              <w:rPr>
                <w:rFonts w:cs="Times New Roman"/>
                <w:b/>
                <w:color w:val="000000" w:themeColor="text1"/>
                <w:sz w:val="22"/>
              </w:rPr>
              <w:t xml:space="preserve"> AND RESPONSIBILITIES FOR INFORMATION DISCLOSURES</w:t>
            </w:r>
          </w:p>
        </w:tc>
        <w:tc>
          <w:tcPr>
            <w:tcW w:w="1277" w:type="pct"/>
          </w:tcPr>
          <w:p w14:paraId="7D2FEBBD" w14:textId="2092B133"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Rename Chapter VI to comply with the recommendation to add a new Article regarding Other reports and news disclosure.</w:t>
            </w:r>
          </w:p>
        </w:tc>
      </w:tr>
      <w:tr w:rsidR="00A023F6" w:rsidRPr="00E72358" w14:paraId="1579173D" w14:textId="4EEB4F16" w:rsidTr="00693D24">
        <w:trPr>
          <w:trHeight w:val="20"/>
        </w:trPr>
        <w:tc>
          <w:tcPr>
            <w:tcW w:w="232" w:type="pct"/>
          </w:tcPr>
          <w:p w14:paraId="413106ED" w14:textId="77777777" w:rsidR="00C9180D" w:rsidRPr="00E72358"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10E37995" w14:textId="201CEB59" w:rsidR="00C9180D" w:rsidRPr="00E72358" w:rsidRDefault="00C9180D" w:rsidP="00C9180D">
            <w:pPr>
              <w:widowControl w:val="0"/>
              <w:adjustRightInd w:val="0"/>
              <w:snapToGrid w:val="0"/>
              <w:spacing w:before="60" w:after="60" w:line="276" w:lineRule="auto"/>
              <w:rPr>
                <w:rFonts w:cs="Times New Roman"/>
                <w:color w:val="000000" w:themeColor="text1"/>
                <w:sz w:val="22"/>
              </w:rPr>
            </w:pPr>
          </w:p>
        </w:tc>
        <w:tc>
          <w:tcPr>
            <w:tcW w:w="1437" w:type="pct"/>
          </w:tcPr>
          <w:p w14:paraId="01BC078C" w14:textId="2DC12E5D" w:rsidR="00C9180D" w:rsidRPr="00E72358" w:rsidRDefault="00C9180D" w:rsidP="00C9180D">
            <w:pPr>
              <w:widowControl w:val="0"/>
              <w:adjustRightInd w:val="0"/>
              <w:snapToGrid w:val="0"/>
              <w:spacing w:before="60" w:after="60" w:line="276" w:lineRule="auto"/>
              <w:jc w:val="both"/>
              <w:rPr>
                <w:rFonts w:cs="Times New Roman"/>
                <w:b/>
                <w:color w:val="000000" w:themeColor="text1"/>
                <w:sz w:val="22"/>
              </w:rPr>
            </w:pPr>
            <w:r w:rsidRPr="00E72358">
              <w:rPr>
                <w:rFonts w:cs="Times New Roman"/>
                <w:i/>
                <w:color w:val="000000" w:themeColor="text1"/>
                <w:sz w:val="22"/>
              </w:rPr>
              <w:t>Not specified</w:t>
            </w:r>
          </w:p>
        </w:tc>
        <w:tc>
          <w:tcPr>
            <w:tcW w:w="1490" w:type="pct"/>
          </w:tcPr>
          <w:p w14:paraId="1F777023" w14:textId="38E7FF51" w:rsidR="00C9180D" w:rsidRPr="00E72358" w:rsidRDefault="00C9180D" w:rsidP="00C9180D">
            <w:pPr>
              <w:widowControl w:val="0"/>
              <w:adjustRightInd w:val="0"/>
              <w:snapToGrid w:val="0"/>
              <w:spacing w:before="60" w:after="60" w:line="276" w:lineRule="auto"/>
              <w:jc w:val="both"/>
              <w:rPr>
                <w:rFonts w:cs="Times New Roman"/>
                <w:b/>
                <w:color w:val="000000" w:themeColor="text1"/>
                <w:sz w:val="22"/>
              </w:rPr>
            </w:pPr>
            <w:r w:rsidRPr="00E72358">
              <w:rPr>
                <w:rFonts w:cs="Times New Roman"/>
                <w:b/>
                <w:color w:val="000000" w:themeColor="text1"/>
                <w:sz w:val="22"/>
              </w:rPr>
              <w:t>Article 52. Other reports and news disclosure</w:t>
            </w:r>
          </w:p>
          <w:p w14:paraId="257A451A" w14:textId="15762E12" w:rsidR="00C9180D" w:rsidRPr="00E72358" w:rsidRDefault="00C9180D" w:rsidP="00C9180D">
            <w:pPr>
              <w:widowControl w:val="0"/>
              <w:adjustRightInd w:val="0"/>
              <w:snapToGrid w:val="0"/>
              <w:spacing w:before="60" w:after="60" w:line="276" w:lineRule="auto"/>
              <w:jc w:val="both"/>
              <w:rPr>
                <w:rFonts w:cs="Times New Roman"/>
                <w:b/>
                <w:color w:val="000000" w:themeColor="text1"/>
                <w:sz w:val="22"/>
                <w:u w:val="single"/>
              </w:rPr>
            </w:pP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implements the reporting regime to the relevant agencies and public disclosure as prescribed by the laws.</w:t>
            </w:r>
          </w:p>
        </w:tc>
        <w:tc>
          <w:tcPr>
            <w:tcW w:w="1277" w:type="pct"/>
          </w:tcPr>
          <w:p w14:paraId="10549CF0" w14:textId="04521CFA"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The Law 68, the Decree No. 366/2025/ND-CP and the Decree No. 365/2025/N</w:t>
            </w:r>
            <w:r w:rsidR="00C74071" w:rsidRPr="00E72358">
              <w:rPr>
                <w:rFonts w:cs="Times New Roman"/>
                <w:color w:val="000000" w:themeColor="text1"/>
                <w:sz w:val="22"/>
              </w:rPr>
              <w:t>D</w:t>
            </w:r>
            <w:r w:rsidRPr="00E72358">
              <w:rPr>
                <w:rFonts w:cs="Times New Roman"/>
                <w:color w:val="000000" w:themeColor="text1"/>
                <w:sz w:val="22"/>
              </w:rPr>
              <w:t xml:space="preserve">-CP specify </w:t>
            </w:r>
            <w:proofErr w:type="spellStart"/>
            <w:r w:rsidRPr="00E72358">
              <w:rPr>
                <w:rFonts w:cs="Times New Roman"/>
                <w:color w:val="000000" w:themeColor="text1"/>
                <w:sz w:val="22"/>
              </w:rPr>
              <w:t>Petrolimex’s</w:t>
            </w:r>
            <w:proofErr w:type="spellEnd"/>
            <w:r w:rsidRPr="00E72358">
              <w:rPr>
                <w:rFonts w:cs="Times New Roman"/>
                <w:color w:val="000000" w:themeColor="text1"/>
                <w:sz w:val="22"/>
              </w:rPr>
              <w:t xml:space="preserve"> reporting responsibilities to the owner representative agency in some circumstances such as:</w:t>
            </w:r>
          </w:p>
          <w:p w14:paraId="191555C4" w14:textId="5749A0EA"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Report on Corporate Operation (Article 54 of Law 68 and Article 39 of the Decree No. 365/2025/N</w:t>
            </w:r>
            <w:r w:rsidR="00C74071" w:rsidRPr="00E72358">
              <w:rPr>
                <w:rFonts w:cs="Times New Roman"/>
                <w:color w:val="000000" w:themeColor="text1"/>
                <w:sz w:val="22"/>
              </w:rPr>
              <w:t>D</w:t>
            </w:r>
            <w:r w:rsidRPr="00E72358">
              <w:rPr>
                <w:rFonts w:cs="Times New Roman"/>
                <w:color w:val="000000" w:themeColor="text1"/>
                <w:sz w:val="22"/>
              </w:rPr>
              <w:t xml:space="preserve">-CP). </w:t>
            </w:r>
          </w:p>
          <w:p w14:paraId="62880AFB" w14:textId="6078C7E0"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 Post-approval report on capital mobilization plans for supervisory purposes, where “the enterprise </w:t>
            </w:r>
            <w:r w:rsidRPr="00E72358">
              <w:rPr>
                <w:rFonts w:cs="Times New Roman"/>
                <w:color w:val="000000" w:themeColor="text1"/>
                <w:sz w:val="22"/>
              </w:rPr>
              <w:lastRenderedPageBreak/>
              <w:t>must report to the owner’s representative body after approving the capital mobilization plan for required supervision in the cases where the enterprise’s capital mobilization results in total liabilities, including guarantees, exceeding three times its equity as recorded in the recent quarterly or annual financial statements at the time of capital mobilization” (Clause 4, Article 21 of the Decree No. 366/2025/N</w:t>
            </w:r>
            <w:r w:rsidR="00C74071" w:rsidRPr="00E72358">
              <w:rPr>
                <w:rFonts w:cs="Times New Roman"/>
                <w:color w:val="000000" w:themeColor="text1"/>
                <w:sz w:val="22"/>
              </w:rPr>
              <w:t>D</w:t>
            </w:r>
            <w:r w:rsidRPr="00E72358">
              <w:rPr>
                <w:rFonts w:cs="Times New Roman"/>
                <w:color w:val="000000" w:themeColor="text1"/>
                <w:sz w:val="22"/>
              </w:rPr>
              <w:t>-CP).</w:t>
            </w:r>
          </w:p>
          <w:p w14:paraId="0E703C83" w14:textId="4502C614"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In addition, Article 55 of Law No. 68 and Article 41 of the Decree No. 365/2025/N</w:t>
            </w:r>
            <w:r w:rsidR="00C74071" w:rsidRPr="00E72358">
              <w:rPr>
                <w:rFonts w:cs="Times New Roman"/>
                <w:color w:val="000000" w:themeColor="text1"/>
                <w:sz w:val="22"/>
              </w:rPr>
              <w:t>D</w:t>
            </w:r>
            <w:r w:rsidRPr="00E72358">
              <w:rPr>
                <w:rFonts w:cs="Times New Roman"/>
                <w:color w:val="000000" w:themeColor="text1"/>
                <w:sz w:val="22"/>
              </w:rPr>
              <w:t xml:space="preserve">-CP specify the information disclosure obligations of state-owned enterprises. </w:t>
            </w:r>
          </w:p>
          <w:p w14:paraId="5EB9B59C" w14:textId="67F3993E"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Accordingly, the proposed addition is to ensure compliance with the Law on Management and Investment of State Capital in Enterprises.</w:t>
            </w:r>
          </w:p>
        </w:tc>
      </w:tr>
      <w:tr w:rsidR="00A023F6" w:rsidRPr="00E72358" w14:paraId="6B9AD293" w14:textId="77777777" w:rsidTr="00693D24">
        <w:trPr>
          <w:trHeight w:val="20"/>
        </w:trPr>
        <w:tc>
          <w:tcPr>
            <w:tcW w:w="232" w:type="pct"/>
          </w:tcPr>
          <w:p w14:paraId="15559E54" w14:textId="77777777" w:rsidR="00C9180D" w:rsidRPr="00E72358"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10A7C294" w14:textId="5B30842C" w:rsidR="00C9180D" w:rsidRPr="00E72358" w:rsidRDefault="00C9180D" w:rsidP="00C9180D">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60, Clause 2</w:t>
            </w:r>
          </w:p>
        </w:tc>
        <w:tc>
          <w:tcPr>
            <w:tcW w:w="1437" w:type="pct"/>
          </w:tcPr>
          <w:p w14:paraId="0EE054E0" w14:textId="7FEE423B" w:rsidR="00C9180D" w:rsidRPr="00E72358" w:rsidRDefault="00C9180D" w:rsidP="00C9180D">
            <w:pPr>
              <w:widowControl w:val="0"/>
              <w:adjustRightInd w:val="0"/>
              <w:snapToGrid w:val="0"/>
              <w:spacing w:before="60" w:after="60" w:line="276" w:lineRule="auto"/>
              <w:jc w:val="both"/>
              <w:rPr>
                <w:rFonts w:cs="Times New Roman"/>
                <w:i/>
                <w:iCs/>
                <w:color w:val="000000" w:themeColor="text1"/>
                <w:sz w:val="22"/>
              </w:rPr>
            </w:pPr>
            <w:r w:rsidRPr="00E72358">
              <w:rPr>
                <w:rFonts w:cs="Times New Roman"/>
                <w:color w:val="000000" w:themeColor="text1"/>
                <w:sz w:val="22"/>
              </w:rPr>
              <w:t xml:space="preserve">2. If the reconciliation decision is not made within 06 weeks since commencement date of the reconciliation or if the decision of the intermediary reconciler is not accepted by the parties, such disputes shall be put forward to the </w:t>
            </w:r>
            <w:r w:rsidRPr="00E72358">
              <w:rPr>
                <w:rFonts w:cs="Times New Roman"/>
                <w:color w:val="000000" w:themeColor="text1"/>
                <w:sz w:val="22"/>
              </w:rPr>
              <w:lastRenderedPageBreak/>
              <w:t>Economic Tribunal or Economic Court</w:t>
            </w:r>
          </w:p>
        </w:tc>
        <w:tc>
          <w:tcPr>
            <w:tcW w:w="1490" w:type="pct"/>
          </w:tcPr>
          <w:p w14:paraId="773EDC0A" w14:textId="5DFC2E1B" w:rsidR="00950834" w:rsidRPr="00E72358" w:rsidRDefault="00950834" w:rsidP="00C9180D">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lastRenderedPageBreak/>
              <w:t>Article 61, Clause 2</w:t>
            </w:r>
          </w:p>
          <w:p w14:paraId="4F24D630" w14:textId="34768976" w:rsidR="00C9180D" w:rsidRPr="00E72358" w:rsidRDefault="00C9180D" w:rsidP="0091386A">
            <w:pPr>
              <w:widowControl w:val="0"/>
              <w:adjustRightInd w:val="0"/>
              <w:snapToGrid w:val="0"/>
              <w:spacing w:before="60" w:after="60" w:line="276" w:lineRule="auto"/>
              <w:jc w:val="both"/>
              <w:rPr>
                <w:rFonts w:cs="Times New Roman"/>
                <w:b/>
                <w:bCs/>
                <w:color w:val="000000" w:themeColor="text1"/>
                <w:sz w:val="22"/>
                <w:u w:val="single"/>
              </w:rPr>
            </w:pPr>
            <w:r w:rsidRPr="00E72358">
              <w:rPr>
                <w:rFonts w:cs="Times New Roman"/>
                <w:color w:val="000000" w:themeColor="text1"/>
                <w:sz w:val="22"/>
              </w:rPr>
              <w:t xml:space="preserve">2. If </w:t>
            </w:r>
            <w:r w:rsidRPr="00E72358">
              <w:rPr>
                <w:rFonts w:cs="Times New Roman"/>
                <w:color w:val="000000" w:themeColor="text1"/>
                <w:sz w:val="22"/>
                <w:u w:val="single"/>
              </w:rPr>
              <w:t>the Head of Supervisory Board fails to appoint the independent experts as intermediate mediator or the reconciliation decision</w:t>
            </w:r>
            <w:r w:rsidRPr="00E72358">
              <w:rPr>
                <w:rFonts w:cs="Times New Roman"/>
                <w:color w:val="000000" w:themeColor="text1"/>
                <w:sz w:val="22"/>
              </w:rPr>
              <w:t xml:space="preserve"> is not made within 06 weeks since commencement date of the reconciliation </w:t>
            </w:r>
            <w:r w:rsidRPr="00E72358">
              <w:rPr>
                <w:rFonts w:cs="Times New Roman"/>
                <w:color w:val="000000" w:themeColor="text1"/>
                <w:sz w:val="22"/>
              </w:rPr>
              <w:lastRenderedPageBreak/>
              <w:t xml:space="preserve">or if the decision of the intermediary reconciler is not </w:t>
            </w:r>
            <w:r w:rsidR="0091386A" w:rsidRPr="00E72358">
              <w:rPr>
                <w:rFonts w:cs="Times New Roman"/>
                <w:color w:val="000000" w:themeColor="text1"/>
                <w:sz w:val="22"/>
              </w:rPr>
              <w:t>approved</w:t>
            </w:r>
            <w:r w:rsidRPr="00E72358">
              <w:rPr>
                <w:rFonts w:cs="Times New Roman"/>
                <w:color w:val="000000" w:themeColor="text1"/>
                <w:sz w:val="22"/>
              </w:rPr>
              <w:t xml:space="preserve"> by the parties, such disputes shall be put forward to the </w:t>
            </w:r>
            <w:r w:rsidRPr="00E72358">
              <w:rPr>
                <w:rFonts w:cs="Times New Roman"/>
                <w:strike/>
                <w:color w:val="000000" w:themeColor="text1"/>
                <w:sz w:val="22"/>
              </w:rPr>
              <w:t>Economic</w:t>
            </w:r>
            <w:r w:rsidRPr="00E72358">
              <w:rPr>
                <w:rFonts w:cs="Times New Roman"/>
                <w:color w:val="000000" w:themeColor="text1"/>
                <w:sz w:val="22"/>
              </w:rPr>
              <w:t xml:space="preserve"> </w:t>
            </w:r>
            <w:r w:rsidRPr="00E72358">
              <w:rPr>
                <w:rFonts w:cs="Times New Roman"/>
                <w:color w:val="000000" w:themeColor="text1"/>
                <w:sz w:val="22"/>
                <w:u w:val="single"/>
              </w:rPr>
              <w:t>Tribunal</w:t>
            </w:r>
            <w:r w:rsidRPr="00E72358">
              <w:rPr>
                <w:rFonts w:cs="Times New Roman"/>
                <w:color w:val="000000" w:themeColor="text1"/>
                <w:sz w:val="22"/>
              </w:rPr>
              <w:t xml:space="preserve"> or </w:t>
            </w:r>
            <w:r w:rsidRPr="00E72358">
              <w:rPr>
                <w:rFonts w:cs="Times New Roman"/>
                <w:strike/>
                <w:color w:val="000000" w:themeColor="text1"/>
                <w:sz w:val="22"/>
              </w:rPr>
              <w:t>Economic</w:t>
            </w:r>
            <w:r w:rsidRPr="00E72358">
              <w:rPr>
                <w:rFonts w:cs="Times New Roman"/>
                <w:color w:val="000000" w:themeColor="text1"/>
                <w:sz w:val="22"/>
                <w:u w:val="single"/>
              </w:rPr>
              <w:t xml:space="preserve"> Court.</w:t>
            </w:r>
          </w:p>
        </w:tc>
        <w:tc>
          <w:tcPr>
            <w:tcW w:w="1277" w:type="pct"/>
          </w:tcPr>
          <w:p w14:paraId="56650B77" w14:textId="373A97B9"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lastRenderedPageBreak/>
              <w:t xml:space="preserve">Add the cases that the Head of Supervisory Board fails to appoint the independent experts as intermediate mediator to ensure covering the practical scenarios that may arise, as Point b, Clause 1, </w:t>
            </w:r>
            <w:r w:rsidRPr="00E72358">
              <w:rPr>
                <w:rFonts w:cs="Times New Roman"/>
                <w:color w:val="000000" w:themeColor="text1"/>
                <w:sz w:val="22"/>
              </w:rPr>
              <w:lastRenderedPageBreak/>
              <w:t xml:space="preserve">Article 61 of the Draft Charter provides: </w:t>
            </w:r>
            <w:r w:rsidRPr="00E72358">
              <w:rPr>
                <w:rFonts w:cs="Times New Roman"/>
                <w:i/>
                <w:color w:val="000000" w:themeColor="text1"/>
                <w:sz w:val="22"/>
              </w:rPr>
              <w:t>“Where the disputes are related to the Board of Management or the Chairman of the Board of Management, any party may request the Head of Supervisory Board to appoint an independent expert as intermediary reconciler for the dispute</w:t>
            </w:r>
            <w:r w:rsidRPr="00E72358">
              <w:rPr>
                <w:rFonts w:cs="Times New Roman"/>
                <w:color w:val="000000" w:themeColor="text1"/>
                <w:sz w:val="22"/>
              </w:rPr>
              <w:t xml:space="preserve"> settlement”.</w:t>
            </w:r>
          </w:p>
          <w:p w14:paraId="5339CDD9" w14:textId="15E6E828"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No concept of “Economic Tribunal and Economic Court” is available. It is required to specify in accordance with the Charter Form issued under the Circular No. 116/2020/TT-BTC (Appendix I, Article 62, clause 2): </w:t>
            </w:r>
            <w:r w:rsidRPr="00E72358">
              <w:rPr>
                <w:rFonts w:cs="Times New Roman"/>
                <w:i/>
                <w:color w:val="000000" w:themeColor="text1"/>
                <w:sz w:val="22"/>
              </w:rPr>
              <w:t>“such disputes may be put forward to the Arbitration or Court”.</w:t>
            </w:r>
          </w:p>
        </w:tc>
      </w:tr>
      <w:tr w:rsidR="00A023F6" w:rsidRPr="00E72358" w14:paraId="18AC04B5" w14:textId="77777777" w:rsidTr="00693D24">
        <w:trPr>
          <w:trHeight w:val="20"/>
        </w:trPr>
        <w:tc>
          <w:tcPr>
            <w:tcW w:w="232" w:type="pct"/>
          </w:tcPr>
          <w:p w14:paraId="62F599A3" w14:textId="77777777" w:rsidR="00C9180D" w:rsidRPr="00E72358" w:rsidRDefault="00C9180D" w:rsidP="00C9180D">
            <w:pPr>
              <w:pStyle w:val="ListParagraph"/>
              <w:widowControl w:val="0"/>
              <w:numPr>
                <w:ilvl w:val="0"/>
                <w:numId w:val="10"/>
              </w:numPr>
              <w:adjustRightInd w:val="0"/>
              <w:snapToGrid w:val="0"/>
              <w:spacing w:before="60" w:after="60" w:line="276" w:lineRule="auto"/>
              <w:ind w:left="473"/>
              <w:contextualSpacing w:val="0"/>
              <w:jc w:val="center"/>
              <w:rPr>
                <w:rFonts w:cs="Times New Roman"/>
                <w:color w:val="000000" w:themeColor="text1"/>
                <w:sz w:val="22"/>
              </w:rPr>
            </w:pPr>
          </w:p>
        </w:tc>
        <w:tc>
          <w:tcPr>
            <w:tcW w:w="564" w:type="pct"/>
          </w:tcPr>
          <w:p w14:paraId="0313E50D" w14:textId="4D4D469B" w:rsidR="00C9180D" w:rsidRPr="00E72358" w:rsidRDefault="00C9180D" w:rsidP="00C9180D">
            <w:pPr>
              <w:widowControl w:val="0"/>
              <w:adjustRightInd w:val="0"/>
              <w:snapToGrid w:val="0"/>
              <w:spacing w:before="60" w:after="60" w:line="276" w:lineRule="auto"/>
              <w:rPr>
                <w:rFonts w:cs="Times New Roman"/>
                <w:color w:val="000000" w:themeColor="text1"/>
                <w:sz w:val="22"/>
              </w:rPr>
            </w:pPr>
            <w:r w:rsidRPr="00E72358">
              <w:rPr>
                <w:rFonts w:cs="Times New Roman"/>
                <w:color w:val="000000" w:themeColor="text1"/>
                <w:sz w:val="22"/>
              </w:rPr>
              <w:t>Article 60, Clause 3</w:t>
            </w:r>
          </w:p>
        </w:tc>
        <w:tc>
          <w:tcPr>
            <w:tcW w:w="1437" w:type="pct"/>
          </w:tcPr>
          <w:p w14:paraId="2D46C73D" w14:textId="0C8FA56F" w:rsidR="00C9180D" w:rsidRPr="00E72358" w:rsidRDefault="00C9180D" w:rsidP="00C9180D">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3. Costs related to the negotiation and amicable settlement procedure shall be borne by each party. Payment of Court fees shall be complied with the Court’s judgment.</w:t>
            </w:r>
          </w:p>
        </w:tc>
        <w:tc>
          <w:tcPr>
            <w:tcW w:w="1490" w:type="pct"/>
          </w:tcPr>
          <w:p w14:paraId="7F9167E7" w14:textId="4ED24AFB" w:rsidR="0076469A" w:rsidRPr="00E72358" w:rsidRDefault="0076469A" w:rsidP="00C9180D">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Article 61, Clause 3</w:t>
            </w:r>
          </w:p>
          <w:p w14:paraId="0F564CC0" w14:textId="42844371" w:rsidR="00C9180D" w:rsidRPr="00E72358" w:rsidRDefault="00C9180D" w:rsidP="0091386A">
            <w:pPr>
              <w:widowControl w:val="0"/>
              <w:adjustRightInd w:val="0"/>
              <w:snapToGrid w:val="0"/>
              <w:spacing w:before="60" w:after="60" w:line="276" w:lineRule="auto"/>
              <w:jc w:val="both"/>
              <w:rPr>
                <w:rFonts w:cs="Times New Roman"/>
                <w:bCs/>
                <w:color w:val="000000" w:themeColor="text1"/>
                <w:sz w:val="22"/>
              </w:rPr>
            </w:pPr>
            <w:r w:rsidRPr="00E72358">
              <w:rPr>
                <w:rFonts w:cs="Times New Roman"/>
                <w:color w:val="000000" w:themeColor="text1"/>
                <w:sz w:val="22"/>
              </w:rPr>
              <w:t xml:space="preserve">3. Costs related to the negotiation and amicable settlement procedure shall be borne by each party. Payment of </w:t>
            </w:r>
            <w:r w:rsidRPr="00E72358">
              <w:rPr>
                <w:rFonts w:cs="Times New Roman"/>
                <w:color w:val="000000" w:themeColor="text1"/>
                <w:sz w:val="22"/>
                <w:u w:val="single"/>
              </w:rPr>
              <w:t>Arbitration</w:t>
            </w:r>
            <w:r w:rsidRPr="00E72358">
              <w:rPr>
                <w:rFonts w:cs="Times New Roman"/>
                <w:color w:val="000000" w:themeColor="text1"/>
                <w:sz w:val="22"/>
              </w:rPr>
              <w:t xml:space="preserve"> and Court fees shall be </w:t>
            </w:r>
            <w:r w:rsidR="0091386A" w:rsidRPr="00E72358">
              <w:rPr>
                <w:rFonts w:cs="Times New Roman"/>
                <w:color w:val="000000" w:themeColor="text1"/>
                <w:sz w:val="22"/>
              </w:rPr>
              <w:t xml:space="preserve">determined with the award or </w:t>
            </w:r>
            <w:r w:rsidRPr="00E72358">
              <w:rPr>
                <w:rFonts w:cs="Times New Roman"/>
                <w:color w:val="000000" w:themeColor="text1"/>
                <w:sz w:val="22"/>
              </w:rPr>
              <w:t xml:space="preserve">judgment of the </w:t>
            </w:r>
            <w:r w:rsidRPr="00E72358">
              <w:rPr>
                <w:rFonts w:cs="Times New Roman"/>
                <w:color w:val="000000" w:themeColor="text1"/>
                <w:sz w:val="22"/>
                <w:u w:val="single"/>
              </w:rPr>
              <w:t>Arbitration</w:t>
            </w:r>
            <w:r w:rsidRPr="00E72358">
              <w:rPr>
                <w:rFonts w:cs="Times New Roman"/>
                <w:color w:val="000000" w:themeColor="text1"/>
                <w:sz w:val="22"/>
              </w:rPr>
              <w:t xml:space="preserve"> or Court.</w:t>
            </w:r>
          </w:p>
        </w:tc>
        <w:tc>
          <w:tcPr>
            <w:tcW w:w="1277" w:type="pct"/>
          </w:tcPr>
          <w:p w14:paraId="7CCB2735" w14:textId="5DDB711E" w:rsidR="00C9180D" w:rsidRPr="00E72358" w:rsidRDefault="00C9180D" w:rsidP="00C9180D">
            <w:pPr>
              <w:widowControl w:val="0"/>
              <w:adjustRightInd w:val="0"/>
              <w:snapToGrid w:val="0"/>
              <w:spacing w:before="60" w:after="60" w:line="276" w:lineRule="auto"/>
              <w:jc w:val="both"/>
              <w:rPr>
                <w:rFonts w:cs="Times New Roman"/>
                <w:color w:val="000000" w:themeColor="text1"/>
                <w:sz w:val="22"/>
              </w:rPr>
            </w:pPr>
            <w:r w:rsidRPr="00E72358">
              <w:rPr>
                <w:rFonts w:cs="Times New Roman"/>
                <w:color w:val="000000" w:themeColor="text1"/>
                <w:sz w:val="22"/>
              </w:rPr>
              <w:t xml:space="preserve">It is necessary to include “Arbitration” as an additional subject, as Clause </w:t>
            </w:r>
            <w:proofErr w:type="gramStart"/>
            <w:r w:rsidRPr="00E72358">
              <w:rPr>
                <w:rFonts w:cs="Times New Roman"/>
                <w:color w:val="000000" w:themeColor="text1"/>
                <w:sz w:val="22"/>
              </w:rPr>
              <w:t>2,</w:t>
            </w:r>
            <w:proofErr w:type="gramEnd"/>
            <w:r w:rsidRPr="00E72358">
              <w:rPr>
                <w:rFonts w:cs="Times New Roman"/>
                <w:color w:val="000000" w:themeColor="text1"/>
                <w:sz w:val="22"/>
              </w:rPr>
              <w:t xml:space="preserve"> Article 61 of the Draft Charter specifies that the parties may opt for “Arbitration”.</w:t>
            </w:r>
          </w:p>
        </w:tc>
      </w:tr>
    </w:tbl>
    <w:p w14:paraId="43744376" w14:textId="77777777" w:rsidR="00035635" w:rsidRPr="00E72358" w:rsidRDefault="00035635" w:rsidP="00427044">
      <w:pPr>
        <w:widowControl w:val="0"/>
        <w:adjustRightInd w:val="0"/>
        <w:snapToGrid w:val="0"/>
        <w:spacing w:before="60" w:after="60"/>
        <w:rPr>
          <w:rFonts w:cs="Times New Roman"/>
          <w:b/>
          <w:color w:val="000000" w:themeColor="text1"/>
          <w:sz w:val="22"/>
        </w:rPr>
      </w:pPr>
    </w:p>
    <w:p w14:paraId="1229E6C3" w14:textId="617A6770" w:rsidR="00DA5F9C" w:rsidRPr="00E72358" w:rsidRDefault="00063885">
      <w:pPr>
        <w:rPr>
          <w:rFonts w:cs="Times New Roman"/>
          <w:bCs/>
          <w:color w:val="000000" w:themeColor="text1"/>
          <w:sz w:val="22"/>
        </w:rPr>
      </w:pPr>
      <w:r w:rsidRPr="00E72358">
        <w:rPr>
          <w:rFonts w:cs="Times New Roman"/>
          <w:color w:val="000000" w:themeColor="text1"/>
          <w:sz w:val="22"/>
        </w:rPr>
        <w:t xml:space="preserve">In addition to the key amendments outlined above, </w:t>
      </w:r>
      <w:proofErr w:type="spellStart"/>
      <w:r w:rsidRPr="00E72358">
        <w:rPr>
          <w:rFonts w:cs="Times New Roman"/>
          <w:color w:val="000000" w:themeColor="text1"/>
          <w:sz w:val="22"/>
        </w:rPr>
        <w:t>Petrolimex</w:t>
      </w:r>
      <w:proofErr w:type="spellEnd"/>
      <w:r w:rsidRPr="00E72358">
        <w:rPr>
          <w:rFonts w:cs="Times New Roman"/>
          <w:color w:val="000000" w:themeColor="text1"/>
          <w:sz w:val="22"/>
        </w:rPr>
        <w:t xml:space="preserve"> has also reviewed and made technical revisions to the Charter, such as references, citations, cross-references, typographical errors and formatting, to ensure accuracy and consistency of its provisions.</w:t>
      </w:r>
    </w:p>
    <w:p w14:paraId="1CD2F76E" w14:textId="468F6EBB" w:rsidR="002E038D" w:rsidRPr="00E72358" w:rsidRDefault="00B42396" w:rsidP="004A5F3B">
      <w:pPr>
        <w:pStyle w:val="Heading1"/>
        <w:widowControl w:val="0"/>
        <w:numPr>
          <w:ilvl w:val="0"/>
          <w:numId w:val="0"/>
        </w:numPr>
        <w:adjustRightInd w:val="0"/>
        <w:snapToGrid w:val="0"/>
        <w:spacing w:before="0" w:line="276" w:lineRule="auto"/>
        <w:ind w:left="360" w:hanging="360"/>
        <w:contextualSpacing w:val="0"/>
        <w:jc w:val="center"/>
        <w:rPr>
          <w:rFonts w:ascii="Times New Roman" w:hAnsi="Times New Roman" w:cs="Times New Roman"/>
          <w:color w:val="000000" w:themeColor="text1"/>
          <w:sz w:val="26"/>
          <w:szCs w:val="26"/>
        </w:rPr>
      </w:pPr>
      <w:r w:rsidRPr="00E72358">
        <w:rPr>
          <w:rFonts w:ascii="Times New Roman" w:hAnsi="Times New Roman" w:cs="Times New Roman"/>
        </w:rPr>
        <w:br w:type="column"/>
      </w:r>
      <w:r w:rsidRPr="00E72358">
        <w:rPr>
          <w:rFonts w:ascii="Times New Roman" w:hAnsi="Times New Roman" w:cs="Times New Roman"/>
          <w:sz w:val="26"/>
        </w:rPr>
        <w:lastRenderedPageBreak/>
        <w:t xml:space="preserve">APPENDIX </w:t>
      </w:r>
      <w:proofErr w:type="spellStart"/>
      <w:proofErr w:type="gramStart"/>
      <w:r w:rsidRPr="00E72358">
        <w:rPr>
          <w:rFonts w:ascii="Times New Roman" w:hAnsi="Times New Roman" w:cs="Times New Roman"/>
          <w:sz w:val="26"/>
        </w:rPr>
        <w:t>Ia</w:t>
      </w:r>
      <w:proofErr w:type="spellEnd"/>
      <w:proofErr w:type="gramEnd"/>
      <w:r w:rsidRPr="00E72358">
        <w:rPr>
          <w:rFonts w:ascii="Times New Roman" w:hAnsi="Times New Roman" w:cs="Times New Roman"/>
          <w:sz w:val="26"/>
        </w:rPr>
        <w:t xml:space="preserve"> - LIST OF BUSINESS LINES, SECTORS TO BE CHANGED</w:t>
      </w:r>
    </w:p>
    <w:p w14:paraId="646AFB98" w14:textId="77777777" w:rsidR="002E038D" w:rsidRPr="00E72358" w:rsidRDefault="002E038D" w:rsidP="004A5F3B">
      <w:pPr>
        <w:widowControl w:val="0"/>
        <w:adjustRightInd w:val="0"/>
        <w:snapToGrid w:val="0"/>
        <w:spacing w:after="0"/>
        <w:jc w:val="center"/>
        <w:rPr>
          <w:rFonts w:cs="Times New Roman"/>
          <w:b/>
          <w:color w:val="000000" w:themeColor="text1"/>
          <w:sz w:val="22"/>
        </w:rPr>
      </w:pPr>
    </w:p>
    <w:tbl>
      <w:tblPr>
        <w:tblStyle w:val="TableGrid"/>
        <w:tblW w:w="5000" w:type="pct"/>
        <w:tblLook w:val="04A0" w:firstRow="1" w:lastRow="0" w:firstColumn="1" w:lastColumn="0" w:noHBand="0" w:noVBand="1"/>
      </w:tblPr>
      <w:tblGrid>
        <w:gridCol w:w="4289"/>
        <w:gridCol w:w="1550"/>
        <w:gridCol w:w="4105"/>
        <w:gridCol w:w="1642"/>
        <w:gridCol w:w="1918"/>
      </w:tblGrid>
      <w:tr w:rsidR="00747A7E" w:rsidRPr="00E72358" w14:paraId="13D72B61" w14:textId="7CB12FE0" w:rsidTr="006608EA">
        <w:trPr>
          <w:trHeight w:val="818"/>
          <w:tblHeader/>
        </w:trPr>
        <w:tc>
          <w:tcPr>
            <w:tcW w:w="2162" w:type="pct"/>
            <w:gridSpan w:val="2"/>
            <w:shd w:val="clear" w:color="auto" w:fill="8D0F3B"/>
            <w:vAlign w:val="center"/>
          </w:tcPr>
          <w:p w14:paraId="7742DEBE" w14:textId="77777777" w:rsidR="006608EA" w:rsidRPr="00E72358" w:rsidRDefault="006608EA" w:rsidP="004A5F3B">
            <w:pPr>
              <w:widowControl w:val="0"/>
              <w:adjustRightInd w:val="0"/>
              <w:snapToGrid w:val="0"/>
              <w:spacing w:line="276" w:lineRule="auto"/>
              <w:jc w:val="center"/>
              <w:rPr>
                <w:rFonts w:cs="Times New Roman"/>
                <w:b/>
                <w:color w:val="FFFFFF" w:themeColor="background1"/>
                <w:sz w:val="22"/>
              </w:rPr>
            </w:pPr>
            <w:r w:rsidRPr="00E72358">
              <w:rPr>
                <w:rFonts w:cs="Times New Roman"/>
                <w:b/>
                <w:color w:val="FFFFFF" w:themeColor="background1"/>
                <w:sz w:val="22"/>
              </w:rPr>
              <w:t>Current business lines, sectors</w:t>
            </w:r>
          </w:p>
        </w:tc>
        <w:tc>
          <w:tcPr>
            <w:tcW w:w="2128" w:type="pct"/>
            <w:gridSpan w:val="2"/>
            <w:shd w:val="clear" w:color="auto" w:fill="8D0F3B"/>
            <w:vAlign w:val="center"/>
          </w:tcPr>
          <w:p w14:paraId="5B6807C6" w14:textId="77777777" w:rsidR="006608EA" w:rsidRPr="00E72358" w:rsidRDefault="006608EA" w:rsidP="004A5F3B">
            <w:pPr>
              <w:widowControl w:val="0"/>
              <w:adjustRightInd w:val="0"/>
              <w:snapToGrid w:val="0"/>
              <w:spacing w:line="276" w:lineRule="auto"/>
              <w:jc w:val="center"/>
              <w:rPr>
                <w:rFonts w:cs="Times New Roman"/>
                <w:b/>
                <w:color w:val="FFFFFF" w:themeColor="background1"/>
                <w:sz w:val="22"/>
              </w:rPr>
            </w:pPr>
            <w:r w:rsidRPr="00E72358">
              <w:rPr>
                <w:rFonts w:cs="Times New Roman"/>
                <w:b/>
                <w:color w:val="FFFFFF" w:themeColor="background1"/>
                <w:sz w:val="22"/>
              </w:rPr>
              <w:t>Expected business lines to be changed</w:t>
            </w:r>
          </w:p>
        </w:tc>
        <w:tc>
          <w:tcPr>
            <w:tcW w:w="710" w:type="pct"/>
            <w:vMerge w:val="restart"/>
            <w:shd w:val="clear" w:color="auto" w:fill="8D0F3B"/>
            <w:vAlign w:val="center"/>
          </w:tcPr>
          <w:p w14:paraId="40FF0E5F" w14:textId="77777777" w:rsidR="006608EA" w:rsidRPr="00E72358" w:rsidRDefault="006608EA" w:rsidP="004A5F3B">
            <w:pPr>
              <w:widowControl w:val="0"/>
              <w:adjustRightInd w:val="0"/>
              <w:snapToGrid w:val="0"/>
              <w:spacing w:line="276" w:lineRule="auto"/>
              <w:jc w:val="center"/>
              <w:rPr>
                <w:rFonts w:cs="Times New Roman"/>
                <w:b/>
                <w:color w:val="FFFFFF" w:themeColor="background1"/>
                <w:sz w:val="22"/>
              </w:rPr>
            </w:pPr>
            <w:r w:rsidRPr="00E72358">
              <w:rPr>
                <w:rFonts w:cs="Times New Roman"/>
                <w:b/>
                <w:color w:val="FFFFFF" w:themeColor="background1"/>
                <w:sz w:val="22"/>
              </w:rPr>
              <w:t>Remarks</w:t>
            </w:r>
          </w:p>
        </w:tc>
      </w:tr>
      <w:tr w:rsidR="00747A7E" w:rsidRPr="00E72358" w14:paraId="72997AC4" w14:textId="79BE6FAB" w:rsidTr="006608EA">
        <w:trPr>
          <w:trHeight w:val="539"/>
          <w:tblHeader/>
        </w:trPr>
        <w:tc>
          <w:tcPr>
            <w:tcW w:w="1588" w:type="pct"/>
            <w:shd w:val="clear" w:color="auto" w:fill="8D0F3B"/>
            <w:vAlign w:val="center"/>
          </w:tcPr>
          <w:p w14:paraId="40A7EC0C" w14:textId="77777777" w:rsidR="006608EA" w:rsidRPr="00E72358" w:rsidRDefault="006608EA" w:rsidP="004A5F3B">
            <w:pPr>
              <w:widowControl w:val="0"/>
              <w:adjustRightInd w:val="0"/>
              <w:snapToGrid w:val="0"/>
              <w:spacing w:line="276" w:lineRule="auto"/>
              <w:jc w:val="center"/>
              <w:rPr>
                <w:rFonts w:cs="Times New Roman"/>
                <w:b/>
                <w:color w:val="FFFFFF" w:themeColor="background1"/>
                <w:sz w:val="22"/>
              </w:rPr>
            </w:pPr>
            <w:r w:rsidRPr="00E72358">
              <w:rPr>
                <w:rFonts w:cs="Times New Roman"/>
                <w:b/>
                <w:color w:val="FFFFFF" w:themeColor="background1"/>
                <w:sz w:val="22"/>
              </w:rPr>
              <w:t>Items</w:t>
            </w:r>
          </w:p>
        </w:tc>
        <w:tc>
          <w:tcPr>
            <w:tcW w:w="574" w:type="pct"/>
            <w:shd w:val="clear" w:color="auto" w:fill="8D0F3B"/>
            <w:vAlign w:val="center"/>
          </w:tcPr>
          <w:p w14:paraId="051770F7" w14:textId="77777777" w:rsidR="006608EA" w:rsidRPr="00E72358" w:rsidRDefault="006608EA" w:rsidP="004A5F3B">
            <w:pPr>
              <w:widowControl w:val="0"/>
              <w:adjustRightInd w:val="0"/>
              <w:snapToGrid w:val="0"/>
              <w:spacing w:line="276" w:lineRule="auto"/>
              <w:jc w:val="center"/>
              <w:rPr>
                <w:rFonts w:cs="Times New Roman"/>
                <w:b/>
                <w:color w:val="FFFFFF" w:themeColor="background1"/>
                <w:sz w:val="22"/>
              </w:rPr>
            </w:pPr>
            <w:r w:rsidRPr="00E72358">
              <w:rPr>
                <w:rFonts w:cs="Times New Roman"/>
                <w:b/>
                <w:color w:val="FFFFFF" w:themeColor="background1"/>
                <w:sz w:val="22"/>
              </w:rPr>
              <w:t>Code</w:t>
            </w:r>
          </w:p>
        </w:tc>
        <w:tc>
          <w:tcPr>
            <w:tcW w:w="1520" w:type="pct"/>
            <w:shd w:val="clear" w:color="auto" w:fill="8D0F3B"/>
            <w:vAlign w:val="center"/>
          </w:tcPr>
          <w:p w14:paraId="6F5556B8" w14:textId="77777777" w:rsidR="006608EA" w:rsidRPr="00E72358" w:rsidRDefault="006608EA" w:rsidP="004A5F3B">
            <w:pPr>
              <w:widowControl w:val="0"/>
              <w:adjustRightInd w:val="0"/>
              <w:snapToGrid w:val="0"/>
              <w:spacing w:line="276" w:lineRule="auto"/>
              <w:jc w:val="center"/>
              <w:rPr>
                <w:rFonts w:cs="Times New Roman"/>
                <w:b/>
                <w:color w:val="FFFFFF" w:themeColor="background1"/>
                <w:sz w:val="22"/>
              </w:rPr>
            </w:pPr>
            <w:r w:rsidRPr="00E72358">
              <w:rPr>
                <w:rFonts w:cs="Times New Roman"/>
                <w:b/>
                <w:color w:val="FFFFFF" w:themeColor="background1"/>
                <w:sz w:val="22"/>
              </w:rPr>
              <w:t>Items</w:t>
            </w:r>
          </w:p>
        </w:tc>
        <w:tc>
          <w:tcPr>
            <w:tcW w:w="608" w:type="pct"/>
            <w:shd w:val="clear" w:color="auto" w:fill="8D0F3B"/>
            <w:vAlign w:val="center"/>
          </w:tcPr>
          <w:p w14:paraId="37ECCA61" w14:textId="77777777" w:rsidR="006608EA" w:rsidRPr="00E72358" w:rsidRDefault="006608EA" w:rsidP="004A5F3B">
            <w:pPr>
              <w:widowControl w:val="0"/>
              <w:adjustRightInd w:val="0"/>
              <w:snapToGrid w:val="0"/>
              <w:spacing w:line="276" w:lineRule="auto"/>
              <w:jc w:val="center"/>
              <w:rPr>
                <w:rFonts w:cs="Times New Roman"/>
                <w:b/>
                <w:color w:val="FFFFFF" w:themeColor="background1"/>
                <w:sz w:val="22"/>
              </w:rPr>
            </w:pPr>
            <w:r w:rsidRPr="00E72358">
              <w:rPr>
                <w:rFonts w:cs="Times New Roman"/>
                <w:b/>
                <w:color w:val="FFFFFF" w:themeColor="background1"/>
                <w:sz w:val="22"/>
              </w:rPr>
              <w:t>Code</w:t>
            </w:r>
          </w:p>
        </w:tc>
        <w:tc>
          <w:tcPr>
            <w:tcW w:w="710" w:type="pct"/>
            <w:vMerge/>
          </w:tcPr>
          <w:p w14:paraId="121CB6B2" w14:textId="77777777" w:rsidR="006608EA" w:rsidRPr="00E72358" w:rsidRDefault="006608EA" w:rsidP="004A5F3B">
            <w:pPr>
              <w:widowControl w:val="0"/>
              <w:adjustRightInd w:val="0"/>
              <w:snapToGrid w:val="0"/>
              <w:spacing w:line="276" w:lineRule="auto"/>
              <w:jc w:val="center"/>
              <w:rPr>
                <w:rFonts w:cs="Times New Roman"/>
                <w:b/>
                <w:color w:val="FFFFFF" w:themeColor="background1"/>
                <w:sz w:val="22"/>
              </w:rPr>
            </w:pPr>
          </w:p>
        </w:tc>
      </w:tr>
      <w:tr w:rsidR="00747A7E" w:rsidRPr="00E72358" w14:paraId="48D2A819" w14:textId="42C0418C" w:rsidTr="006608EA">
        <w:tc>
          <w:tcPr>
            <w:tcW w:w="1588" w:type="pct"/>
            <w:vAlign w:val="center"/>
          </w:tcPr>
          <w:p w14:paraId="0507A293"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b/>
                <w:color w:val="000000" w:themeColor="text1"/>
                <w:sz w:val="22"/>
              </w:rPr>
              <w:t>Wholesales of solid, liquid and gas fuel and relevant products</w:t>
            </w:r>
          </w:p>
          <w:p w14:paraId="10F48E23"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Distribution and wholesales of petroleum, aviation petroleum, aviation fuel, SAF fuel and aviation fuel, dry gas products, LNG, CNG, LPG, Condensate, etc., and other energy products</w:t>
            </w:r>
          </w:p>
        </w:tc>
        <w:tc>
          <w:tcPr>
            <w:tcW w:w="574" w:type="pct"/>
            <w:vAlign w:val="center"/>
          </w:tcPr>
          <w:p w14:paraId="10FD990D"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b/>
                <w:color w:val="000000" w:themeColor="text1"/>
                <w:sz w:val="22"/>
              </w:rPr>
              <w:t>4661 (Main)</w:t>
            </w:r>
          </w:p>
        </w:tc>
        <w:tc>
          <w:tcPr>
            <w:tcW w:w="1520" w:type="pct"/>
            <w:vAlign w:val="center"/>
          </w:tcPr>
          <w:p w14:paraId="6BE5545F"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b/>
                <w:color w:val="000000" w:themeColor="text1"/>
                <w:sz w:val="22"/>
              </w:rPr>
              <w:t>Wholesales of solid, liquid and gas fuel and relevant products</w:t>
            </w:r>
          </w:p>
          <w:p w14:paraId="57E2B9BF"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Distribution and wholesales of petroleum, aviation petroleum, aviation fuel, SAF fuel and aviation fuel, dry gas products, LNG, CNG, LPG, Condensate, etc., and other energy products</w:t>
            </w:r>
          </w:p>
        </w:tc>
        <w:tc>
          <w:tcPr>
            <w:tcW w:w="608" w:type="pct"/>
            <w:vAlign w:val="center"/>
          </w:tcPr>
          <w:p w14:paraId="2FFCAA55"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b/>
                <w:color w:val="000000" w:themeColor="text1"/>
                <w:sz w:val="22"/>
              </w:rPr>
              <w:t>4671 (Main)</w:t>
            </w:r>
          </w:p>
        </w:tc>
        <w:tc>
          <w:tcPr>
            <w:tcW w:w="710" w:type="pct"/>
            <w:vAlign w:val="center"/>
          </w:tcPr>
          <w:p w14:paraId="0B1F3F78" w14:textId="7F3EF173" w:rsidR="006608EA" w:rsidRPr="00E72358" w:rsidRDefault="006608EA" w:rsidP="004A5F3B">
            <w:pPr>
              <w:widowControl w:val="0"/>
              <w:adjustRightInd w:val="0"/>
              <w:snapToGrid w:val="0"/>
              <w:spacing w:line="276" w:lineRule="auto"/>
              <w:jc w:val="both"/>
              <w:rPr>
                <w:rFonts w:cs="Times New Roman"/>
                <w:bCs/>
                <w:color w:val="000000" w:themeColor="text1"/>
                <w:sz w:val="22"/>
              </w:rPr>
            </w:pPr>
            <w:r w:rsidRPr="00E72358">
              <w:rPr>
                <w:rFonts w:cs="Times New Roman"/>
                <w:color w:val="000000" w:themeColor="text1"/>
                <w:sz w:val="22"/>
              </w:rPr>
              <w:t>Change the sector code in accordance with the Decision No. 36.</w:t>
            </w:r>
          </w:p>
        </w:tc>
      </w:tr>
      <w:tr w:rsidR="00747A7E" w:rsidRPr="00E72358" w14:paraId="6323F7BC" w14:textId="26083E5E" w:rsidTr="006608EA">
        <w:tc>
          <w:tcPr>
            <w:tcW w:w="1588" w:type="pct"/>
            <w:vAlign w:val="center"/>
          </w:tcPr>
          <w:p w14:paraId="5487A830"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Other transportation-related support service activities</w:t>
            </w:r>
          </w:p>
          <w:p w14:paraId="734C22DC"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4AE24191"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Logistics</w:t>
            </w:r>
          </w:p>
          <w:p w14:paraId="64FA2407"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Agency and freight forwarding services</w:t>
            </w:r>
          </w:p>
        </w:tc>
        <w:tc>
          <w:tcPr>
            <w:tcW w:w="574" w:type="pct"/>
            <w:vAlign w:val="center"/>
          </w:tcPr>
          <w:p w14:paraId="6B44FDE7"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5229</w:t>
            </w:r>
          </w:p>
        </w:tc>
        <w:tc>
          <w:tcPr>
            <w:tcW w:w="1520" w:type="pct"/>
            <w:vAlign w:val="center"/>
          </w:tcPr>
          <w:p w14:paraId="50CD6D32"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Other transportation-related support service activities</w:t>
            </w:r>
          </w:p>
          <w:p w14:paraId="73E2EEC1"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63EE48EA"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Logistics</w:t>
            </w:r>
          </w:p>
          <w:p w14:paraId="146CE789"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Agency and freight forwarding services</w:t>
            </w:r>
          </w:p>
          <w:p w14:paraId="5E8812EA" w14:textId="77777777" w:rsidR="00944CF6" w:rsidRPr="00E72358" w:rsidRDefault="00944CF6" w:rsidP="00944CF6">
            <w:pPr>
              <w:widowControl w:val="0"/>
              <w:adjustRightInd w:val="0"/>
              <w:snapToGrid w:val="0"/>
              <w:spacing w:line="276" w:lineRule="auto"/>
              <w:jc w:val="both"/>
              <w:rPr>
                <w:rFonts w:cs="Times New Roman"/>
                <w:i/>
                <w:color w:val="000000" w:themeColor="text1"/>
                <w:sz w:val="22"/>
                <w:u w:val="single"/>
              </w:rPr>
            </w:pPr>
            <w:r w:rsidRPr="00E72358">
              <w:rPr>
                <w:rFonts w:cs="Times New Roman"/>
                <w:i/>
                <w:color w:val="000000" w:themeColor="text1"/>
                <w:sz w:val="22"/>
                <w:u w:val="single"/>
              </w:rPr>
              <w:t>- EV charging support services for automobiles, motorcycles and mopeds</w:t>
            </w:r>
          </w:p>
          <w:p w14:paraId="47701AF0" w14:textId="254A808A" w:rsidR="00944CF6" w:rsidRPr="00E72358" w:rsidRDefault="00944CF6" w:rsidP="00944CF6">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u w:val="single"/>
              </w:rPr>
              <w:t>- Battery swapping and leasing services for automobiles, motorcycles and mopeds</w:t>
            </w:r>
          </w:p>
        </w:tc>
        <w:tc>
          <w:tcPr>
            <w:tcW w:w="608" w:type="pct"/>
            <w:vAlign w:val="center"/>
          </w:tcPr>
          <w:p w14:paraId="32C6528A"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5229</w:t>
            </w:r>
          </w:p>
        </w:tc>
        <w:tc>
          <w:tcPr>
            <w:tcW w:w="710" w:type="pct"/>
            <w:vAlign w:val="center"/>
          </w:tcPr>
          <w:p w14:paraId="7D593A71" w14:textId="4FB8A47B" w:rsidR="006608EA" w:rsidRPr="00E72358" w:rsidRDefault="00944CF6"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Add more details of sector code related to the EV battery swapping and leasing services</w:t>
            </w:r>
          </w:p>
        </w:tc>
      </w:tr>
      <w:tr w:rsidR="00747A7E" w:rsidRPr="00E72358" w14:paraId="720DEBCA" w14:textId="60F3E618" w:rsidTr="006608EA">
        <w:tc>
          <w:tcPr>
            <w:tcW w:w="1588" w:type="pct"/>
            <w:vAlign w:val="center"/>
          </w:tcPr>
          <w:p w14:paraId="75E3DCB5"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Direct supporting services for waterway transportation</w:t>
            </w:r>
          </w:p>
          <w:p w14:paraId="4196FDCC"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Trading and operation of oil terminal for petroleum import and export purposes</w:t>
            </w:r>
          </w:p>
        </w:tc>
        <w:tc>
          <w:tcPr>
            <w:tcW w:w="574" w:type="pct"/>
            <w:vAlign w:val="center"/>
          </w:tcPr>
          <w:p w14:paraId="58934044"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5222</w:t>
            </w:r>
          </w:p>
        </w:tc>
        <w:tc>
          <w:tcPr>
            <w:tcW w:w="1520" w:type="pct"/>
            <w:vAlign w:val="center"/>
          </w:tcPr>
          <w:p w14:paraId="241563A5"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Direct supporting services for waterway transportation</w:t>
            </w:r>
          </w:p>
          <w:p w14:paraId="639C7CD8"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Trading and operation of oil terminal for petroleum import and export purposes</w:t>
            </w:r>
          </w:p>
        </w:tc>
        <w:tc>
          <w:tcPr>
            <w:tcW w:w="608" w:type="pct"/>
            <w:vAlign w:val="center"/>
          </w:tcPr>
          <w:p w14:paraId="056E4463"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5222</w:t>
            </w:r>
          </w:p>
        </w:tc>
        <w:tc>
          <w:tcPr>
            <w:tcW w:w="710" w:type="pct"/>
            <w:vAlign w:val="center"/>
          </w:tcPr>
          <w:p w14:paraId="72423C3D"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075DB60D" w14:textId="56074646" w:rsidTr="006608EA">
        <w:tc>
          <w:tcPr>
            <w:tcW w:w="1588" w:type="pct"/>
            <w:vAlign w:val="center"/>
          </w:tcPr>
          <w:p w14:paraId="1B1B9980"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Wholesales of other machines, equipment and accessories</w:t>
            </w:r>
          </w:p>
          <w:p w14:paraId="0CDC7362"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00432CB4"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Plants, equipment and accessories to serve for petroleum sector and other sectors;</w:t>
            </w:r>
          </w:p>
          <w:p w14:paraId="2C16AE6A"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xml:space="preserve">- Wholesales of special equipment for </w:t>
            </w:r>
            <w:r w:rsidRPr="00E72358">
              <w:rPr>
                <w:rFonts w:cs="Times New Roman"/>
                <w:i/>
                <w:color w:val="000000" w:themeColor="text1"/>
                <w:sz w:val="22"/>
              </w:rPr>
              <w:lastRenderedPageBreak/>
              <w:t>hydrogen storage and distribution</w:t>
            </w:r>
          </w:p>
        </w:tc>
        <w:tc>
          <w:tcPr>
            <w:tcW w:w="574" w:type="pct"/>
            <w:vAlign w:val="center"/>
          </w:tcPr>
          <w:p w14:paraId="7D2DD4C0"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lastRenderedPageBreak/>
              <w:t>4659</w:t>
            </w:r>
          </w:p>
        </w:tc>
        <w:tc>
          <w:tcPr>
            <w:tcW w:w="1520" w:type="pct"/>
            <w:vAlign w:val="center"/>
          </w:tcPr>
          <w:p w14:paraId="6247B37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Wholesales of other machines, equipment and accessories</w:t>
            </w:r>
          </w:p>
          <w:p w14:paraId="73BD0E2F"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36D60A20"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Plants, equipment and accessories to serve for petroleum sector and other sectors;</w:t>
            </w:r>
          </w:p>
          <w:p w14:paraId="4C4F3A93"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lastRenderedPageBreak/>
              <w:t>- Wholesales of special equipment for hydrogen storage and distribution</w:t>
            </w:r>
          </w:p>
        </w:tc>
        <w:tc>
          <w:tcPr>
            <w:tcW w:w="608" w:type="pct"/>
            <w:vAlign w:val="center"/>
          </w:tcPr>
          <w:p w14:paraId="16870826"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lastRenderedPageBreak/>
              <w:t>4659</w:t>
            </w:r>
          </w:p>
        </w:tc>
        <w:tc>
          <w:tcPr>
            <w:tcW w:w="710" w:type="pct"/>
            <w:vAlign w:val="center"/>
          </w:tcPr>
          <w:p w14:paraId="55505F1D"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15F28017" w14:textId="238A04FE" w:rsidTr="006608EA">
        <w:tc>
          <w:tcPr>
            <w:tcW w:w="1588" w:type="pct"/>
            <w:vAlign w:val="center"/>
          </w:tcPr>
          <w:p w14:paraId="311DD462"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lastRenderedPageBreak/>
              <w:t>Waterway works construction</w:t>
            </w:r>
          </w:p>
        </w:tc>
        <w:tc>
          <w:tcPr>
            <w:tcW w:w="574" w:type="pct"/>
            <w:vAlign w:val="center"/>
          </w:tcPr>
          <w:p w14:paraId="60698E43"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4291</w:t>
            </w:r>
          </w:p>
        </w:tc>
        <w:tc>
          <w:tcPr>
            <w:tcW w:w="1520" w:type="pct"/>
            <w:vAlign w:val="center"/>
          </w:tcPr>
          <w:p w14:paraId="4C83984D"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Waterway works construction</w:t>
            </w:r>
          </w:p>
        </w:tc>
        <w:tc>
          <w:tcPr>
            <w:tcW w:w="608" w:type="pct"/>
            <w:vAlign w:val="center"/>
          </w:tcPr>
          <w:p w14:paraId="6F769464"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4291</w:t>
            </w:r>
          </w:p>
        </w:tc>
        <w:tc>
          <w:tcPr>
            <w:tcW w:w="710" w:type="pct"/>
            <w:vAlign w:val="center"/>
          </w:tcPr>
          <w:p w14:paraId="3327B90A"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05922469" w14:textId="28EC8994" w:rsidTr="006608EA">
        <w:tc>
          <w:tcPr>
            <w:tcW w:w="1588" w:type="pct"/>
            <w:vAlign w:val="center"/>
          </w:tcPr>
          <w:p w14:paraId="1328A276"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Mining works construction</w:t>
            </w:r>
          </w:p>
        </w:tc>
        <w:tc>
          <w:tcPr>
            <w:tcW w:w="574" w:type="pct"/>
            <w:vAlign w:val="center"/>
          </w:tcPr>
          <w:p w14:paraId="18ED53E0"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4292</w:t>
            </w:r>
          </w:p>
        </w:tc>
        <w:tc>
          <w:tcPr>
            <w:tcW w:w="1520" w:type="pct"/>
            <w:vAlign w:val="center"/>
          </w:tcPr>
          <w:p w14:paraId="63B76508"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Mining works construction</w:t>
            </w:r>
          </w:p>
        </w:tc>
        <w:tc>
          <w:tcPr>
            <w:tcW w:w="608" w:type="pct"/>
            <w:vAlign w:val="center"/>
          </w:tcPr>
          <w:p w14:paraId="0DABC7A4"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4292</w:t>
            </w:r>
          </w:p>
        </w:tc>
        <w:tc>
          <w:tcPr>
            <w:tcW w:w="710" w:type="pct"/>
            <w:vAlign w:val="center"/>
          </w:tcPr>
          <w:p w14:paraId="121688FE"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695EA030" w14:textId="085CE528" w:rsidTr="006608EA">
        <w:tc>
          <w:tcPr>
            <w:tcW w:w="1588" w:type="pct"/>
            <w:vAlign w:val="center"/>
          </w:tcPr>
          <w:p w14:paraId="528B8318"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Construction of processing and manufacturing works</w:t>
            </w:r>
          </w:p>
          <w:p w14:paraId="4D311D57"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Development of hydro chemical, biofuel and synthesis fuel plant, etc.</w:t>
            </w:r>
          </w:p>
        </w:tc>
        <w:tc>
          <w:tcPr>
            <w:tcW w:w="574" w:type="pct"/>
            <w:vAlign w:val="center"/>
          </w:tcPr>
          <w:p w14:paraId="703F627A"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4293</w:t>
            </w:r>
          </w:p>
        </w:tc>
        <w:tc>
          <w:tcPr>
            <w:tcW w:w="1520" w:type="pct"/>
            <w:vAlign w:val="center"/>
          </w:tcPr>
          <w:p w14:paraId="4AB1D44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Construction of processing and manufacturing works</w:t>
            </w:r>
          </w:p>
          <w:p w14:paraId="2329D900"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Development of hydro chemical, biofuel and synthesis fuel plant, etc.</w:t>
            </w:r>
          </w:p>
        </w:tc>
        <w:tc>
          <w:tcPr>
            <w:tcW w:w="608" w:type="pct"/>
            <w:vAlign w:val="center"/>
          </w:tcPr>
          <w:p w14:paraId="17769EBB"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4293</w:t>
            </w:r>
          </w:p>
        </w:tc>
        <w:tc>
          <w:tcPr>
            <w:tcW w:w="710" w:type="pct"/>
            <w:vAlign w:val="center"/>
          </w:tcPr>
          <w:p w14:paraId="3CB43B95"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38CF55B3" w14:textId="49CB4571" w:rsidTr="006608EA">
        <w:tc>
          <w:tcPr>
            <w:tcW w:w="1588" w:type="pct"/>
            <w:vAlign w:val="center"/>
          </w:tcPr>
          <w:p w14:paraId="6E344234"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Other civil engineering works</w:t>
            </w:r>
          </w:p>
          <w:p w14:paraId="65DCACE4" w14:textId="671C1C24"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xml:space="preserve">Details: Civil engineering, improvement and storage services of petroleum works, </w:t>
            </w:r>
            <w:r w:rsidR="00410CB1" w:rsidRPr="00E72358">
              <w:rPr>
                <w:rFonts w:cs="Times New Roman"/>
                <w:i/>
                <w:color w:val="000000" w:themeColor="text1"/>
                <w:sz w:val="22"/>
              </w:rPr>
              <w:t>refined petroleum</w:t>
            </w:r>
            <w:r w:rsidRPr="00E72358">
              <w:rPr>
                <w:rFonts w:cs="Times New Roman"/>
                <w:i/>
                <w:color w:val="000000" w:themeColor="text1"/>
                <w:sz w:val="22"/>
              </w:rPr>
              <w:t xml:space="preserve"> products and civil works;</w:t>
            </w:r>
          </w:p>
        </w:tc>
        <w:tc>
          <w:tcPr>
            <w:tcW w:w="574" w:type="pct"/>
            <w:vAlign w:val="center"/>
          </w:tcPr>
          <w:p w14:paraId="5DE18529"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4299</w:t>
            </w:r>
          </w:p>
        </w:tc>
        <w:tc>
          <w:tcPr>
            <w:tcW w:w="1520" w:type="pct"/>
            <w:vAlign w:val="center"/>
          </w:tcPr>
          <w:p w14:paraId="2FBE6A0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Other civil engineering works</w:t>
            </w:r>
          </w:p>
          <w:p w14:paraId="36F6A394" w14:textId="3C7085F8"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 xml:space="preserve">Details: Civil engineering, improvement and storage services of petroleum works, </w:t>
            </w:r>
            <w:r w:rsidR="00410CB1" w:rsidRPr="00E72358">
              <w:rPr>
                <w:rFonts w:cs="Times New Roman"/>
                <w:i/>
                <w:color w:val="000000" w:themeColor="text1"/>
                <w:sz w:val="22"/>
              </w:rPr>
              <w:t>refined petroleum</w:t>
            </w:r>
            <w:r w:rsidRPr="00E72358">
              <w:rPr>
                <w:rFonts w:cs="Times New Roman"/>
                <w:i/>
                <w:color w:val="000000" w:themeColor="text1"/>
                <w:sz w:val="22"/>
              </w:rPr>
              <w:t xml:space="preserve"> products and civil works;</w:t>
            </w:r>
          </w:p>
        </w:tc>
        <w:tc>
          <w:tcPr>
            <w:tcW w:w="608" w:type="pct"/>
            <w:vAlign w:val="center"/>
          </w:tcPr>
          <w:p w14:paraId="2EEE231B"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4299</w:t>
            </w:r>
          </w:p>
        </w:tc>
        <w:tc>
          <w:tcPr>
            <w:tcW w:w="710" w:type="pct"/>
            <w:vAlign w:val="center"/>
          </w:tcPr>
          <w:p w14:paraId="00C5A172"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1314F1DA" w14:textId="5EE9CA66" w:rsidTr="006608EA">
        <w:tc>
          <w:tcPr>
            <w:tcW w:w="1588" w:type="pct"/>
            <w:vAlign w:val="center"/>
          </w:tcPr>
          <w:p w14:paraId="05179238"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Other production not classified elsewhere</w:t>
            </w:r>
          </w:p>
          <w:p w14:paraId="74511348"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655DA00C"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Production of petroleum, petrochemical and its related products;</w:t>
            </w:r>
          </w:p>
          <w:p w14:paraId="53D1E5F8"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Production of renewable energy, new energy and green and clean energy;</w:t>
            </w:r>
          </w:p>
          <w:p w14:paraId="36702D5E"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Production of special equipment for hydrogen storage and distribution;</w:t>
            </w:r>
          </w:p>
          <w:p w14:paraId="08893390"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Production of materials, chemicals, raw materials, plants and equipment to serve for production and processing of petroleum, fuel for airlines, gas products and other energy products, etc.</w:t>
            </w:r>
          </w:p>
        </w:tc>
        <w:tc>
          <w:tcPr>
            <w:tcW w:w="574" w:type="pct"/>
            <w:vAlign w:val="center"/>
          </w:tcPr>
          <w:p w14:paraId="128BC893"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3290</w:t>
            </w:r>
          </w:p>
        </w:tc>
        <w:tc>
          <w:tcPr>
            <w:tcW w:w="1520" w:type="pct"/>
            <w:vAlign w:val="center"/>
          </w:tcPr>
          <w:p w14:paraId="179A57CB"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Other production not classified elsewhere</w:t>
            </w:r>
          </w:p>
          <w:p w14:paraId="1726B68E"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433614B7"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Production of petroleum, petrochemical and its related products;</w:t>
            </w:r>
          </w:p>
          <w:p w14:paraId="0CC593FD"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Production of renewable energy, new energy and green and clean energy;</w:t>
            </w:r>
          </w:p>
          <w:p w14:paraId="12CB0CC8"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Production of special equipment for hydrogen storage and distribution;</w:t>
            </w:r>
          </w:p>
          <w:p w14:paraId="12B60D28"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Production of materials, chemicals, raw materials, plants and equipment to serve for production and processing of petroleum, fuel for airlines, gas products and other energy products, etc.</w:t>
            </w:r>
          </w:p>
        </w:tc>
        <w:tc>
          <w:tcPr>
            <w:tcW w:w="608" w:type="pct"/>
            <w:vAlign w:val="center"/>
          </w:tcPr>
          <w:p w14:paraId="6D23695B"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3290</w:t>
            </w:r>
          </w:p>
        </w:tc>
        <w:tc>
          <w:tcPr>
            <w:tcW w:w="710" w:type="pct"/>
            <w:vAlign w:val="center"/>
          </w:tcPr>
          <w:p w14:paraId="028DC03F"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69996F66" w14:textId="28CC4443" w:rsidTr="006608EA">
        <w:trPr>
          <w:trHeight w:val="79"/>
        </w:trPr>
        <w:tc>
          <w:tcPr>
            <w:tcW w:w="1588" w:type="pct"/>
            <w:vAlign w:val="center"/>
          </w:tcPr>
          <w:p w14:paraId="258EFE2F"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Road goods transportation services</w:t>
            </w:r>
          </w:p>
          <w:p w14:paraId="79BA0E36"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(The Enterprise operates only when the required eligibility is satisfied as prescribed by the laws)</w:t>
            </w:r>
          </w:p>
        </w:tc>
        <w:tc>
          <w:tcPr>
            <w:tcW w:w="574" w:type="pct"/>
            <w:vAlign w:val="center"/>
          </w:tcPr>
          <w:p w14:paraId="71C03635"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4933</w:t>
            </w:r>
          </w:p>
        </w:tc>
        <w:tc>
          <w:tcPr>
            <w:tcW w:w="1520" w:type="pct"/>
            <w:vAlign w:val="center"/>
          </w:tcPr>
          <w:p w14:paraId="75EC948C"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Road goods transportation services</w:t>
            </w:r>
          </w:p>
          <w:p w14:paraId="100BC476"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(The Enterprise operates only when the required eligibility is satisfied as prescribed by the laws)</w:t>
            </w:r>
          </w:p>
        </w:tc>
        <w:tc>
          <w:tcPr>
            <w:tcW w:w="608" w:type="pct"/>
            <w:vAlign w:val="center"/>
          </w:tcPr>
          <w:p w14:paraId="2E7C9140"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4933</w:t>
            </w:r>
          </w:p>
        </w:tc>
        <w:tc>
          <w:tcPr>
            <w:tcW w:w="710" w:type="pct"/>
            <w:vAlign w:val="center"/>
          </w:tcPr>
          <w:p w14:paraId="7BDD086E"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2C67CF33" w14:textId="500F9B7C" w:rsidTr="006608EA">
        <w:trPr>
          <w:trHeight w:val="79"/>
        </w:trPr>
        <w:tc>
          <w:tcPr>
            <w:tcW w:w="1588" w:type="pct"/>
            <w:vAlign w:val="center"/>
          </w:tcPr>
          <w:p w14:paraId="3E539D9B"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lastRenderedPageBreak/>
              <w:t>Goods storage field and storage</w:t>
            </w:r>
          </w:p>
          <w:p w14:paraId="28D21F53"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(Excluding property business activity)</w:t>
            </w:r>
          </w:p>
        </w:tc>
        <w:tc>
          <w:tcPr>
            <w:tcW w:w="574" w:type="pct"/>
            <w:vAlign w:val="center"/>
          </w:tcPr>
          <w:p w14:paraId="200868BA"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5210</w:t>
            </w:r>
          </w:p>
        </w:tc>
        <w:tc>
          <w:tcPr>
            <w:tcW w:w="1520" w:type="pct"/>
            <w:vAlign w:val="center"/>
          </w:tcPr>
          <w:p w14:paraId="7DA67C8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Goods storage field and storage</w:t>
            </w:r>
          </w:p>
          <w:p w14:paraId="77049338"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(Excluding property business activity)</w:t>
            </w:r>
          </w:p>
        </w:tc>
        <w:tc>
          <w:tcPr>
            <w:tcW w:w="608" w:type="pct"/>
            <w:vAlign w:val="center"/>
          </w:tcPr>
          <w:p w14:paraId="0590CA80"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5210</w:t>
            </w:r>
          </w:p>
        </w:tc>
        <w:tc>
          <w:tcPr>
            <w:tcW w:w="710" w:type="pct"/>
            <w:vAlign w:val="center"/>
          </w:tcPr>
          <w:p w14:paraId="1EB54D6B"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5D00D6BF" w14:textId="097CB925" w:rsidTr="006608EA">
        <w:trPr>
          <w:trHeight w:val="79"/>
        </w:trPr>
        <w:tc>
          <w:tcPr>
            <w:tcW w:w="1588" w:type="pct"/>
            <w:vAlign w:val="center"/>
          </w:tcPr>
          <w:p w14:paraId="25849C63"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Remaining business support services not classified elsewhere</w:t>
            </w:r>
          </w:p>
          <w:p w14:paraId="6B705907"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5014644B"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Import and export items provided by company</w:t>
            </w:r>
          </w:p>
          <w:p w14:paraId="395869BD"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Trading in petroleum export and import, application of derivative tools and operations in accordance with the international practices to trade and purchase petroleum;</w:t>
            </w:r>
          </w:p>
          <w:p w14:paraId="0FDD3EFF" w14:textId="076DA326"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xml:space="preserve">- </w:t>
            </w:r>
            <w:r w:rsidR="003C5CC6" w:rsidRPr="00E72358">
              <w:rPr>
                <w:rFonts w:cs="Times New Roman"/>
                <w:i/>
                <w:color w:val="000000" w:themeColor="text1"/>
                <w:sz w:val="22"/>
              </w:rPr>
              <w:t xml:space="preserve">Leasing office space </w:t>
            </w:r>
            <w:r w:rsidRPr="00E72358">
              <w:rPr>
                <w:rFonts w:cs="Times New Roman"/>
                <w:i/>
                <w:color w:val="000000" w:themeColor="text1"/>
                <w:sz w:val="22"/>
              </w:rPr>
              <w:t>to member enterprises and other business supporting activities</w:t>
            </w:r>
          </w:p>
        </w:tc>
        <w:tc>
          <w:tcPr>
            <w:tcW w:w="574" w:type="pct"/>
            <w:vAlign w:val="center"/>
          </w:tcPr>
          <w:p w14:paraId="35C66D1E"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8299</w:t>
            </w:r>
          </w:p>
        </w:tc>
        <w:tc>
          <w:tcPr>
            <w:tcW w:w="1520" w:type="pct"/>
            <w:vAlign w:val="center"/>
          </w:tcPr>
          <w:p w14:paraId="1854DF62"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Remaining business support services not classified elsewhere</w:t>
            </w:r>
          </w:p>
          <w:p w14:paraId="0B0A7105"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2A9E8C0F"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Import and export items provided by company</w:t>
            </w:r>
          </w:p>
          <w:p w14:paraId="1F6FDA9E"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Trading in petroleum export and import, application of derivative tools and operations in accordance with the international practices to trade and purchase petroleum;</w:t>
            </w:r>
          </w:p>
          <w:p w14:paraId="21229799" w14:textId="43D03C5B" w:rsidR="006608EA" w:rsidRPr="00E72358" w:rsidRDefault="006608EA" w:rsidP="0091386A">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 xml:space="preserve">- </w:t>
            </w:r>
            <w:r w:rsidR="0091386A" w:rsidRPr="00E72358">
              <w:rPr>
                <w:rFonts w:cs="Times New Roman"/>
                <w:i/>
                <w:color w:val="000000" w:themeColor="text1"/>
                <w:sz w:val="22"/>
              </w:rPr>
              <w:t xml:space="preserve">Leasing office space </w:t>
            </w:r>
            <w:r w:rsidRPr="00E72358">
              <w:rPr>
                <w:rFonts w:cs="Times New Roman"/>
                <w:i/>
                <w:color w:val="000000" w:themeColor="text1"/>
                <w:sz w:val="22"/>
              </w:rPr>
              <w:t>to member enterprises and other business supporting activities</w:t>
            </w:r>
          </w:p>
        </w:tc>
        <w:tc>
          <w:tcPr>
            <w:tcW w:w="608" w:type="pct"/>
            <w:vAlign w:val="center"/>
          </w:tcPr>
          <w:p w14:paraId="471E84E6"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8299</w:t>
            </w:r>
          </w:p>
        </w:tc>
        <w:tc>
          <w:tcPr>
            <w:tcW w:w="710" w:type="pct"/>
            <w:vAlign w:val="center"/>
          </w:tcPr>
          <w:p w14:paraId="78DD4DDC"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3D29F502" w14:textId="75A21CEC" w:rsidTr="006608EA">
        <w:trPr>
          <w:trHeight w:val="79"/>
        </w:trPr>
        <w:tc>
          <w:tcPr>
            <w:tcW w:w="1588" w:type="pct"/>
            <w:vAlign w:val="center"/>
          </w:tcPr>
          <w:p w14:paraId="043B57E6"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Retails of engine fuels in the single line stores</w:t>
            </w:r>
          </w:p>
        </w:tc>
        <w:tc>
          <w:tcPr>
            <w:tcW w:w="574" w:type="pct"/>
            <w:vAlign w:val="center"/>
          </w:tcPr>
          <w:p w14:paraId="73A7C55A"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4730</w:t>
            </w:r>
          </w:p>
        </w:tc>
        <w:tc>
          <w:tcPr>
            <w:tcW w:w="1520" w:type="pct"/>
            <w:vAlign w:val="center"/>
          </w:tcPr>
          <w:p w14:paraId="064B13BF"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Retails of engine fuel</w:t>
            </w:r>
          </w:p>
          <w:p w14:paraId="261667CE" w14:textId="7E48F86C"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u w:val="single"/>
              </w:rPr>
            </w:pPr>
            <w:r w:rsidRPr="00E72358">
              <w:rPr>
                <w:i/>
                <w:color w:val="000000" w:themeColor="text1"/>
                <w:sz w:val="22"/>
                <w:u w:val="single"/>
              </w:rPr>
              <w:t>Details: Retails of petroleum, aviation petroleum, aviation fuel, SAF fuel and aviation fuel, dry gas products, LNG, CNG, LPG, Condensate, etc., and other energy products.</w:t>
            </w:r>
          </w:p>
        </w:tc>
        <w:tc>
          <w:tcPr>
            <w:tcW w:w="608" w:type="pct"/>
            <w:vAlign w:val="center"/>
          </w:tcPr>
          <w:p w14:paraId="44990ACC"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4730</w:t>
            </w:r>
          </w:p>
        </w:tc>
        <w:tc>
          <w:tcPr>
            <w:tcW w:w="710" w:type="pct"/>
            <w:vAlign w:val="center"/>
          </w:tcPr>
          <w:p w14:paraId="3E402075" w14:textId="40158075"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sector name and details of the sector code in accordance with the Decision No. 36 as follows: Insert a part of details at sector code 4773 (old) to this sector code.</w:t>
            </w:r>
          </w:p>
        </w:tc>
      </w:tr>
      <w:tr w:rsidR="00747A7E" w:rsidRPr="00E72358" w14:paraId="502321B2" w14:textId="51BBC264" w:rsidTr="006608EA">
        <w:trPr>
          <w:trHeight w:val="79"/>
        </w:trPr>
        <w:tc>
          <w:tcPr>
            <w:tcW w:w="1588" w:type="pct"/>
            <w:vMerge w:val="restart"/>
            <w:vAlign w:val="center"/>
          </w:tcPr>
          <w:p w14:paraId="6FAE3B20"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Power generation</w:t>
            </w:r>
          </w:p>
          <w:p w14:paraId="0A1F2759"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Trading in electricity generation, including Gas Power, Wind Power and Solar Power</w:t>
            </w:r>
          </w:p>
        </w:tc>
        <w:tc>
          <w:tcPr>
            <w:tcW w:w="574" w:type="pct"/>
            <w:vMerge w:val="restart"/>
            <w:vAlign w:val="center"/>
          </w:tcPr>
          <w:p w14:paraId="68354A63"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3511</w:t>
            </w:r>
          </w:p>
        </w:tc>
        <w:tc>
          <w:tcPr>
            <w:tcW w:w="1520" w:type="pct"/>
            <w:vAlign w:val="center"/>
          </w:tcPr>
          <w:p w14:paraId="5F7395A0" w14:textId="77777777" w:rsidR="006608EA" w:rsidRPr="00E72358" w:rsidRDefault="006608EA" w:rsidP="004A5F3B">
            <w:pPr>
              <w:pStyle w:val="Vnbnnidung0"/>
              <w:tabs>
                <w:tab w:val="left" w:pos="1009"/>
              </w:tabs>
              <w:adjustRightInd w:val="0"/>
              <w:snapToGrid w:val="0"/>
              <w:spacing w:after="0" w:line="276" w:lineRule="auto"/>
              <w:ind w:firstLine="0"/>
              <w:jc w:val="both"/>
              <w:rPr>
                <w:rFonts w:cs="Times New Roman"/>
                <w:color w:val="000000" w:themeColor="text1"/>
                <w:sz w:val="22"/>
                <w:szCs w:val="22"/>
                <w:u w:val="single"/>
              </w:rPr>
            </w:pPr>
            <w:r w:rsidRPr="00E72358">
              <w:rPr>
                <w:rFonts w:cs="Times New Roman"/>
                <w:color w:val="000000" w:themeColor="text1"/>
                <w:sz w:val="22"/>
              </w:rPr>
              <w:t xml:space="preserve">Power generation </w:t>
            </w:r>
            <w:r w:rsidRPr="00E72358">
              <w:rPr>
                <w:rFonts w:cs="Times New Roman"/>
                <w:color w:val="000000" w:themeColor="text1"/>
                <w:sz w:val="22"/>
                <w:u w:val="single"/>
              </w:rPr>
              <w:t>from non-renewable energy source</w:t>
            </w:r>
          </w:p>
          <w:p w14:paraId="703FF6E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 xml:space="preserve">Details: Trading in gas-fired power generation </w:t>
            </w:r>
            <w:r w:rsidRPr="00E72358">
              <w:rPr>
                <w:rFonts w:cs="Times New Roman"/>
                <w:i/>
                <w:color w:val="000000" w:themeColor="text1"/>
                <w:sz w:val="22"/>
                <w:u w:val="single"/>
              </w:rPr>
              <w:t xml:space="preserve">and other non-renewable energy </w:t>
            </w:r>
            <w:r w:rsidRPr="00E72358">
              <w:rPr>
                <w:rFonts w:cs="Times New Roman"/>
                <w:i/>
                <w:color w:val="000000" w:themeColor="text1"/>
                <w:sz w:val="22"/>
                <w:u w:val="single"/>
              </w:rPr>
              <w:lastRenderedPageBreak/>
              <w:t>generation activities</w:t>
            </w:r>
          </w:p>
        </w:tc>
        <w:tc>
          <w:tcPr>
            <w:tcW w:w="608" w:type="pct"/>
            <w:vAlign w:val="center"/>
          </w:tcPr>
          <w:p w14:paraId="60F0360A"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lastRenderedPageBreak/>
              <w:t>3511</w:t>
            </w:r>
          </w:p>
        </w:tc>
        <w:tc>
          <w:tcPr>
            <w:tcW w:w="710" w:type="pct"/>
            <w:vMerge w:val="restart"/>
            <w:vAlign w:val="center"/>
          </w:tcPr>
          <w:p w14:paraId="7A55FEF6" w14:textId="30A824FE"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 xml:space="preserve">Change sector name and details of the sector code in accordance with </w:t>
            </w:r>
            <w:r w:rsidRPr="00E72358">
              <w:rPr>
                <w:rFonts w:cs="Times New Roman"/>
                <w:color w:val="000000" w:themeColor="text1"/>
                <w:sz w:val="22"/>
              </w:rPr>
              <w:lastRenderedPageBreak/>
              <w:t>the Decision No. 36.</w:t>
            </w:r>
          </w:p>
        </w:tc>
      </w:tr>
      <w:tr w:rsidR="00747A7E" w:rsidRPr="00E72358" w14:paraId="1EB2524D" w14:textId="62780F68" w:rsidTr="006608EA">
        <w:trPr>
          <w:trHeight w:val="79"/>
        </w:trPr>
        <w:tc>
          <w:tcPr>
            <w:tcW w:w="1588" w:type="pct"/>
            <w:vMerge/>
            <w:vAlign w:val="center"/>
          </w:tcPr>
          <w:p w14:paraId="6ED08D17"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p>
        </w:tc>
        <w:tc>
          <w:tcPr>
            <w:tcW w:w="574" w:type="pct"/>
            <w:vMerge/>
            <w:vAlign w:val="center"/>
          </w:tcPr>
          <w:p w14:paraId="51C1ACFB"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p>
        </w:tc>
        <w:tc>
          <w:tcPr>
            <w:tcW w:w="1520" w:type="pct"/>
            <w:vAlign w:val="center"/>
          </w:tcPr>
          <w:p w14:paraId="0E15FC51" w14:textId="77777777" w:rsidR="006608EA" w:rsidRPr="00E72358" w:rsidRDefault="006608EA" w:rsidP="004A5F3B">
            <w:pPr>
              <w:widowControl w:val="0"/>
              <w:adjustRightInd w:val="0"/>
              <w:snapToGrid w:val="0"/>
              <w:spacing w:line="276" w:lineRule="auto"/>
              <w:jc w:val="both"/>
              <w:rPr>
                <w:rFonts w:cs="Times New Roman"/>
                <w:color w:val="000000" w:themeColor="text1"/>
                <w:sz w:val="22"/>
                <w:u w:val="single"/>
              </w:rPr>
            </w:pPr>
            <w:r w:rsidRPr="00E72358">
              <w:rPr>
                <w:rFonts w:cs="Times New Roman"/>
                <w:color w:val="000000" w:themeColor="text1"/>
                <w:sz w:val="22"/>
              </w:rPr>
              <w:t xml:space="preserve">Power generation </w:t>
            </w:r>
            <w:r w:rsidRPr="00E72358">
              <w:rPr>
                <w:rFonts w:cs="Times New Roman"/>
                <w:color w:val="000000" w:themeColor="text1"/>
                <w:sz w:val="22"/>
                <w:u w:val="single"/>
              </w:rPr>
              <w:t>from renewable energy source</w:t>
            </w:r>
          </w:p>
          <w:p w14:paraId="7C7D6ED0" w14:textId="77777777" w:rsidR="006608EA" w:rsidRPr="00E72358" w:rsidRDefault="006608EA" w:rsidP="004A5F3B">
            <w:pPr>
              <w:pStyle w:val="Vnbnnidung0"/>
              <w:tabs>
                <w:tab w:val="left" w:pos="1009"/>
              </w:tabs>
              <w:adjustRightInd w:val="0"/>
              <w:snapToGrid w:val="0"/>
              <w:spacing w:after="0" w:line="276" w:lineRule="auto"/>
              <w:ind w:firstLine="0"/>
              <w:jc w:val="both"/>
              <w:rPr>
                <w:rFonts w:cs="Times New Roman"/>
                <w:color w:val="000000" w:themeColor="text1"/>
                <w:sz w:val="22"/>
                <w:szCs w:val="22"/>
              </w:rPr>
            </w:pPr>
            <w:r w:rsidRPr="00E72358">
              <w:rPr>
                <w:rFonts w:cs="Times New Roman"/>
                <w:i/>
                <w:color w:val="000000" w:themeColor="text1"/>
                <w:sz w:val="22"/>
              </w:rPr>
              <w:t>Details: Trading in wind power, solar power and other non-renewable energy generation activities</w:t>
            </w:r>
          </w:p>
        </w:tc>
        <w:tc>
          <w:tcPr>
            <w:tcW w:w="608" w:type="pct"/>
            <w:vAlign w:val="center"/>
          </w:tcPr>
          <w:p w14:paraId="73111506"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3512</w:t>
            </w:r>
          </w:p>
        </w:tc>
        <w:tc>
          <w:tcPr>
            <w:tcW w:w="710" w:type="pct"/>
            <w:vMerge/>
            <w:vAlign w:val="center"/>
          </w:tcPr>
          <w:p w14:paraId="716083EF"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p>
        </w:tc>
      </w:tr>
      <w:tr w:rsidR="00747A7E" w:rsidRPr="00E72358" w14:paraId="0892E0F0" w14:textId="66B9DCB4" w:rsidTr="006608EA">
        <w:trPr>
          <w:trHeight w:val="79"/>
        </w:trPr>
        <w:tc>
          <w:tcPr>
            <w:tcW w:w="1588" w:type="pct"/>
            <w:vAlign w:val="center"/>
          </w:tcPr>
          <w:p w14:paraId="3A0C0BCC"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Installation of electrical system</w:t>
            </w:r>
          </w:p>
        </w:tc>
        <w:tc>
          <w:tcPr>
            <w:tcW w:w="574" w:type="pct"/>
            <w:vAlign w:val="center"/>
          </w:tcPr>
          <w:p w14:paraId="7B2D50F2"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4321</w:t>
            </w:r>
          </w:p>
        </w:tc>
        <w:tc>
          <w:tcPr>
            <w:tcW w:w="1520" w:type="pct"/>
            <w:vAlign w:val="center"/>
          </w:tcPr>
          <w:p w14:paraId="14874AD4"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Installation of electrical system</w:t>
            </w:r>
          </w:p>
        </w:tc>
        <w:tc>
          <w:tcPr>
            <w:tcW w:w="608" w:type="pct"/>
            <w:vAlign w:val="center"/>
          </w:tcPr>
          <w:p w14:paraId="254E64AF"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4321</w:t>
            </w:r>
          </w:p>
        </w:tc>
        <w:tc>
          <w:tcPr>
            <w:tcW w:w="710" w:type="pct"/>
            <w:vAlign w:val="center"/>
          </w:tcPr>
          <w:p w14:paraId="4B7953DB"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0660E5F5" w14:textId="31AA80C4" w:rsidTr="006608EA">
        <w:trPr>
          <w:trHeight w:val="79"/>
        </w:trPr>
        <w:tc>
          <w:tcPr>
            <w:tcW w:w="1588" w:type="pct"/>
            <w:vAlign w:val="center"/>
          </w:tcPr>
          <w:p w14:paraId="05CC0BA4"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Production of batteries</w:t>
            </w:r>
          </w:p>
        </w:tc>
        <w:tc>
          <w:tcPr>
            <w:tcW w:w="574" w:type="pct"/>
            <w:vAlign w:val="center"/>
          </w:tcPr>
          <w:p w14:paraId="7FE74BBF"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2720</w:t>
            </w:r>
          </w:p>
        </w:tc>
        <w:tc>
          <w:tcPr>
            <w:tcW w:w="1520" w:type="pct"/>
            <w:vAlign w:val="center"/>
          </w:tcPr>
          <w:p w14:paraId="6751CEED"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Production of batteries</w:t>
            </w:r>
          </w:p>
        </w:tc>
        <w:tc>
          <w:tcPr>
            <w:tcW w:w="608" w:type="pct"/>
            <w:vAlign w:val="center"/>
          </w:tcPr>
          <w:p w14:paraId="487C53B5"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2720</w:t>
            </w:r>
          </w:p>
        </w:tc>
        <w:tc>
          <w:tcPr>
            <w:tcW w:w="710" w:type="pct"/>
            <w:vAlign w:val="center"/>
          </w:tcPr>
          <w:p w14:paraId="64A41906"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60C8464F" w14:textId="4FA8A533" w:rsidTr="006608EA">
        <w:trPr>
          <w:trHeight w:val="79"/>
        </w:trPr>
        <w:tc>
          <w:tcPr>
            <w:tcW w:w="1588" w:type="pct"/>
            <w:vAlign w:val="center"/>
          </w:tcPr>
          <w:p w14:paraId="4E629543"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Power transmission and distribution</w:t>
            </w:r>
          </w:p>
          <w:p w14:paraId="3704FA17"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54FB1A86"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Power distribution;</w:t>
            </w:r>
          </w:p>
          <w:p w14:paraId="40355C2C"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Wholesales of electricity;</w:t>
            </w:r>
          </w:p>
          <w:p w14:paraId="5A1DE77D"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Retails of electricity</w:t>
            </w:r>
          </w:p>
        </w:tc>
        <w:tc>
          <w:tcPr>
            <w:tcW w:w="574" w:type="pct"/>
            <w:vAlign w:val="center"/>
          </w:tcPr>
          <w:p w14:paraId="484688A4"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3512</w:t>
            </w:r>
          </w:p>
        </w:tc>
        <w:tc>
          <w:tcPr>
            <w:tcW w:w="1520" w:type="pct"/>
            <w:vAlign w:val="center"/>
          </w:tcPr>
          <w:p w14:paraId="54F4DA70"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Power transmission and distribution</w:t>
            </w:r>
          </w:p>
          <w:p w14:paraId="506CD2E1"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0DDAFC47" w14:textId="04AE8370" w:rsidR="006608EA" w:rsidRPr="00E72358" w:rsidRDefault="006608EA" w:rsidP="004A3080">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Power distribution;</w:t>
            </w:r>
          </w:p>
          <w:p w14:paraId="250CF5DA" w14:textId="7FF3BBBE" w:rsidR="006608EA" w:rsidRPr="00E72358" w:rsidRDefault="006608EA" w:rsidP="004A5F3B">
            <w:pPr>
              <w:widowControl w:val="0"/>
              <w:adjustRightInd w:val="0"/>
              <w:snapToGrid w:val="0"/>
              <w:spacing w:line="276" w:lineRule="auto"/>
              <w:jc w:val="both"/>
              <w:rPr>
                <w:rFonts w:cs="Times New Roman"/>
                <w:b/>
                <w:color w:val="000000" w:themeColor="text1"/>
                <w:sz w:val="22"/>
              </w:rPr>
            </w:pPr>
          </w:p>
        </w:tc>
        <w:tc>
          <w:tcPr>
            <w:tcW w:w="608" w:type="pct"/>
            <w:vAlign w:val="center"/>
          </w:tcPr>
          <w:p w14:paraId="7D407FA9"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3513</w:t>
            </w:r>
          </w:p>
        </w:tc>
        <w:tc>
          <w:tcPr>
            <w:tcW w:w="710" w:type="pct"/>
            <w:vAlign w:val="center"/>
          </w:tcPr>
          <w:p w14:paraId="2E6E83EF" w14:textId="3D9FF978"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the sector code in accordance with the Decision No. 36.</w:t>
            </w:r>
          </w:p>
        </w:tc>
      </w:tr>
      <w:tr w:rsidR="00747A7E" w:rsidRPr="00E72358" w14:paraId="5C636AB5" w14:textId="221A726E" w:rsidTr="006608EA">
        <w:trPr>
          <w:trHeight w:val="79"/>
        </w:trPr>
        <w:tc>
          <w:tcPr>
            <w:tcW w:w="1588" w:type="pct"/>
            <w:vAlign w:val="center"/>
          </w:tcPr>
          <w:p w14:paraId="7E3E2068"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Basic chemical production</w:t>
            </w:r>
          </w:p>
          <w:p w14:paraId="306E4293"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Production of bio-fuel, hydro, hydrogen, ammoniac and synthetic fuels originated from hydro and fuel cell</w:t>
            </w:r>
          </w:p>
        </w:tc>
        <w:tc>
          <w:tcPr>
            <w:tcW w:w="574" w:type="pct"/>
            <w:vAlign w:val="center"/>
          </w:tcPr>
          <w:p w14:paraId="10FCC092"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2011</w:t>
            </w:r>
          </w:p>
        </w:tc>
        <w:tc>
          <w:tcPr>
            <w:tcW w:w="1520" w:type="pct"/>
            <w:vAlign w:val="center"/>
          </w:tcPr>
          <w:p w14:paraId="4B74593C"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Basic chemical production</w:t>
            </w:r>
          </w:p>
          <w:p w14:paraId="4990357A"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Production of bio-fuel, hydro, hydrogen, ammoniac and synthetic fuels originated from hydro and fuel cell</w:t>
            </w:r>
          </w:p>
        </w:tc>
        <w:tc>
          <w:tcPr>
            <w:tcW w:w="608" w:type="pct"/>
            <w:vAlign w:val="center"/>
          </w:tcPr>
          <w:p w14:paraId="3C606BA0"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2011</w:t>
            </w:r>
          </w:p>
        </w:tc>
        <w:tc>
          <w:tcPr>
            <w:tcW w:w="710" w:type="pct"/>
            <w:vAlign w:val="center"/>
          </w:tcPr>
          <w:p w14:paraId="5A0DBEF4"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59DC9241" w14:textId="3F688220" w:rsidTr="006608EA">
        <w:trPr>
          <w:trHeight w:val="79"/>
        </w:trPr>
        <w:tc>
          <w:tcPr>
            <w:tcW w:w="1588" w:type="pct"/>
            <w:vAlign w:val="center"/>
          </w:tcPr>
          <w:p w14:paraId="6D019A50"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Gas production, gas fuel distribution by pipeline</w:t>
            </w:r>
          </w:p>
        </w:tc>
        <w:tc>
          <w:tcPr>
            <w:tcW w:w="574" w:type="pct"/>
            <w:vAlign w:val="center"/>
          </w:tcPr>
          <w:p w14:paraId="7189D2DD"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3520</w:t>
            </w:r>
          </w:p>
        </w:tc>
        <w:tc>
          <w:tcPr>
            <w:tcW w:w="1520" w:type="pct"/>
            <w:vAlign w:val="center"/>
          </w:tcPr>
          <w:p w14:paraId="4F6B6664"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Gas production, gas fuel distribution by pipeline</w:t>
            </w:r>
          </w:p>
        </w:tc>
        <w:tc>
          <w:tcPr>
            <w:tcW w:w="608" w:type="pct"/>
            <w:vAlign w:val="center"/>
          </w:tcPr>
          <w:p w14:paraId="6643D8C7"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3520</w:t>
            </w:r>
          </w:p>
        </w:tc>
        <w:tc>
          <w:tcPr>
            <w:tcW w:w="710" w:type="pct"/>
            <w:vAlign w:val="center"/>
          </w:tcPr>
          <w:p w14:paraId="53E02AF3"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1B586A67" w14:textId="03AB5EC1" w:rsidTr="006608EA">
        <w:trPr>
          <w:trHeight w:val="79"/>
        </w:trPr>
        <w:tc>
          <w:tcPr>
            <w:tcW w:w="1588" w:type="pct"/>
            <w:vAlign w:val="center"/>
          </w:tcPr>
          <w:p w14:paraId="7DE3A99E"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Piping transportation</w:t>
            </w:r>
          </w:p>
        </w:tc>
        <w:tc>
          <w:tcPr>
            <w:tcW w:w="574" w:type="pct"/>
            <w:vAlign w:val="center"/>
          </w:tcPr>
          <w:p w14:paraId="21EF02B8"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4940</w:t>
            </w:r>
          </w:p>
        </w:tc>
        <w:tc>
          <w:tcPr>
            <w:tcW w:w="1520" w:type="pct"/>
            <w:vAlign w:val="center"/>
          </w:tcPr>
          <w:p w14:paraId="69480B1B"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Piping transportation</w:t>
            </w:r>
          </w:p>
        </w:tc>
        <w:tc>
          <w:tcPr>
            <w:tcW w:w="608" w:type="pct"/>
            <w:vAlign w:val="center"/>
          </w:tcPr>
          <w:p w14:paraId="0BDF08D7"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4940</w:t>
            </w:r>
          </w:p>
        </w:tc>
        <w:tc>
          <w:tcPr>
            <w:tcW w:w="710" w:type="pct"/>
            <w:vAlign w:val="center"/>
          </w:tcPr>
          <w:p w14:paraId="0662E784"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73669B10" w14:textId="327A4775" w:rsidTr="006608EA">
        <w:trPr>
          <w:trHeight w:val="79"/>
        </w:trPr>
        <w:tc>
          <w:tcPr>
            <w:tcW w:w="1588" w:type="pct"/>
            <w:vAlign w:val="center"/>
          </w:tcPr>
          <w:p w14:paraId="29F6B4C8"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Coastal and offshore goods transportation</w:t>
            </w:r>
          </w:p>
        </w:tc>
        <w:tc>
          <w:tcPr>
            <w:tcW w:w="574" w:type="pct"/>
            <w:vAlign w:val="center"/>
          </w:tcPr>
          <w:p w14:paraId="78821B71"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5012</w:t>
            </w:r>
          </w:p>
        </w:tc>
        <w:tc>
          <w:tcPr>
            <w:tcW w:w="1520" w:type="pct"/>
            <w:vAlign w:val="center"/>
          </w:tcPr>
          <w:p w14:paraId="3263C67F"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Coastal and offshore goods transportation</w:t>
            </w:r>
          </w:p>
        </w:tc>
        <w:tc>
          <w:tcPr>
            <w:tcW w:w="608" w:type="pct"/>
            <w:vAlign w:val="center"/>
          </w:tcPr>
          <w:p w14:paraId="38C2C723"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5012</w:t>
            </w:r>
          </w:p>
        </w:tc>
        <w:tc>
          <w:tcPr>
            <w:tcW w:w="710" w:type="pct"/>
            <w:vAlign w:val="center"/>
          </w:tcPr>
          <w:p w14:paraId="235E4AC1"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6667231D" w14:textId="6A9353CB" w:rsidTr="006608EA">
        <w:trPr>
          <w:trHeight w:val="79"/>
        </w:trPr>
        <w:tc>
          <w:tcPr>
            <w:tcW w:w="1588" w:type="pct"/>
            <w:vAlign w:val="center"/>
          </w:tcPr>
          <w:p w14:paraId="4257A38F"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Inland waterway goods transportation services</w:t>
            </w:r>
          </w:p>
        </w:tc>
        <w:tc>
          <w:tcPr>
            <w:tcW w:w="574" w:type="pct"/>
            <w:vAlign w:val="center"/>
          </w:tcPr>
          <w:p w14:paraId="372A6A69"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5022</w:t>
            </w:r>
          </w:p>
        </w:tc>
        <w:tc>
          <w:tcPr>
            <w:tcW w:w="1520" w:type="pct"/>
            <w:vAlign w:val="center"/>
          </w:tcPr>
          <w:p w14:paraId="7141003B"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Inland waterway goods transportation services</w:t>
            </w:r>
          </w:p>
        </w:tc>
        <w:tc>
          <w:tcPr>
            <w:tcW w:w="608" w:type="pct"/>
            <w:vAlign w:val="center"/>
          </w:tcPr>
          <w:p w14:paraId="65B2B937"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5022</w:t>
            </w:r>
          </w:p>
        </w:tc>
        <w:tc>
          <w:tcPr>
            <w:tcW w:w="710" w:type="pct"/>
            <w:vAlign w:val="center"/>
          </w:tcPr>
          <w:p w14:paraId="14784E7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25DC3BF2" w14:textId="3C3D4A8D" w:rsidTr="006608EA">
        <w:trPr>
          <w:trHeight w:val="79"/>
        </w:trPr>
        <w:tc>
          <w:tcPr>
            <w:tcW w:w="1588" w:type="pct"/>
            <w:vAlign w:val="center"/>
          </w:tcPr>
          <w:p w14:paraId="1DBB015B"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Manufacturing of extraction energy-powered equipment</w:t>
            </w:r>
          </w:p>
        </w:tc>
        <w:tc>
          <w:tcPr>
            <w:tcW w:w="574" w:type="pct"/>
            <w:vAlign w:val="center"/>
          </w:tcPr>
          <w:p w14:paraId="2A2FB02A"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2812</w:t>
            </w:r>
          </w:p>
        </w:tc>
        <w:tc>
          <w:tcPr>
            <w:tcW w:w="1520" w:type="pct"/>
            <w:vAlign w:val="center"/>
          </w:tcPr>
          <w:p w14:paraId="02860644"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Manufacturing of extraction energy-powered equipment</w:t>
            </w:r>
          </w:p>
        </w:tc>
        <w:tc>
          <w:tcPr>
            <w:tcW w:w="608" w:type="pct"/>
            <w:vAlign w:val="center"/>
          </w:tcPr>
          <w:p w14:paraId="6AAB0B5C"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2812</w:t>
            </w:r>
          </w:p>
        </w:tc>
        <w:tc>
          <w:tcPr>
            <w:tcW w:w="710" w:type="pct"/>
            <w:vAlign w:val="center"/>
          </w:tcPr>
          <w:p w14:paraId="3EDFAC27"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2FD2CEA3" w14:textId="197BBCA3" w:rsidTr="006608EA">
        <w:trPr>
          <w:trHeight w:val="79"/>
        </w:trPr>
        <w:tc>
          <w:tcPr>
            <w:tcW w:w="1588" w:type="pct"/>
            <w:vAlign w:val="center"/>
          </w:tcPr>
          <w:p w14:paraId="0CF47C59"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Manufacturing of pump, compressor, cock and other valves</w:t>
            </w:r>
          </w:p>
        </w:tc>
        <w:tc>
          <w:tcPr>
            <w:tcW w:w="574" w:type="pct"/>
            <w:vAlign w:val="center"/>
          </w:tcPr>
          <w:p w14:paraId="1A53161C"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2813</w:t>
            </w:r>
          </w:p>
        </w:tc>
        <w:tc>
          <w:tcPr>
            <w:tcW w:w="1520" w:type="pct"/>
            <w:vAlign w:val="center"/>
          </w:tcPr>
          <w:p w14:paraId="0083F75C"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Manufacturing of pump, compressor, cock and other valves</w:t>
            </w:r>
          </w:p>
        </w:tc>
        <w:tc>
          <w:tcPr>
            <w:tcW w:w="608" w:type="pct"/>
            <w:vAlign w:val="center"/>
          </w:tcPr>
          <w:p w14:paraId="61B526F6"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2813</w:t>
            </w:r>
          </w:p>
        </w:tc>
        <w:tc>
          <w:tcPr>
            <w:tcW w:w="710" w:type="pct"/>
            <w:vAlign w:val="center"/>
          </w:tcPr>
          <w:p w14:paraId="7DA4A174"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1E86F566" w14:textId="08C61F19" w:rsidTr="006608EA">
        <w:trPr>
          <w:trHeight w:val="79"/>
        </w:trPr>
        <w:tc>
          <w:tcPr>
            <w:tcW w:w="1588" w:type="pct"/>
            <w:vAlign w:val="center"/>
          </w:tcPr>
          <w:p w14:paraId="454E017B"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Installation of industrial plants and equipment</w:t>
            </w:r>
          </w:p>
        </w:tc>
        <w:tc>
          <w:tcPr>
            <w:tcW w:w="574" w:type="pct"/>
            <w:vAlign w:val="center"/>
          </w:tcPr>
          <w:p w14:paraId="5C9BA359"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3320</w:t>
            </w:r>
          </w:p>
        </w:tc>
        <w:tc>
          <w:tcPr>
            <w:tcW w:w="1520" w:type="pct"/>
            <w:vAlign w:val="center"/>
          </w:tcPr>
          <w:p w14:paraId="59D67B1A"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Installation of industrial plants and equipment</w:t>
            </w:r>
          </w:p>
        </w:tc>
        <w:tc>
          <w:tcPr>
            <w:tcW w:w="608" w:type="pct"/>
            <w:vAlign w:val="center"/>
          </w:tcPr>
          <w:p w14:paraId="143D7242"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3320</w:t>
            </w:r>
          </w:p>
        </w:tc>
        <w:tc>
          <w:tcPr>
            <w:tcW w:w="710" w:type="pct"/>
            <w:vAlign w:val="center"/>
          </w:tcPr>
          <w:p w14:paraId="14551157"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2D4B1C94" w14:textId="77FA0516" w:rsidTr="006608EA">
        <w:trPr>
          <w:trHeight w:val="79"/>
        </w:trPr>
        <w:tc>
          <w:tcPr>
            <w:tcW w:w="1588" w:type="pct"/>
            <w:vAlign w:val="center"/>
          </w:tcPr>
          <w:p w14:paraId="3A8105C6"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lastRenderedPageBreak/>
              <w:t>Scientific study and technology development in the fields of science and technology</w:t>
            </w:r>
          </w:p>
          <w:p w14:paraId="02C74DDB"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szCs w:val="22"/>
              </w:rPr>
            </w:pPr>
            <w:r w:rsidRPr="00E72358">
              <w:rPr>
                <w:i/>
                <w:color w:val="000000" w:themeColor="text1"/>
                <w:sz w:val="22"/>
              </w:rPr>
              <w:t>Details:</w:t>
            </w:r>
          </w:p>
          <w:p w14:paraId="330284A1"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szCs w:val="22"/>
              </w:rPr>
            </w:pPr>
            <w:r w:rsidRPr="00E72358">
              <w:rPr>
                <w:i/>
                <w:color w:val="000000" w:themeColor="text1"/>
                <w:sz w:val="22"/>
              </w:rPr>
              <w:t>- Scientific research and technology development in the fields of new product generation such as hydro, bio-fuel, synthesis fuel, etc.;</w:t>
            </w:r>
          </w:p>
          <w:p w14:paraId="02A6E591"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Scientific research and technology development in the fields of new energy product, new fuel, green and clean energy.</w:t>
            </w:r>
          </w:p>
        </w:tc>
        <w:tc>
          <w:tcPr>
            <w:tcW w:w="574" w:type="pct"/>
            <w:vAlign w:val="center"/>
          </w:tcPr>
          <w:p w14:paraId="57C1A452"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7212</w:t>
            </w:r>
          </w:p>
        </w:tc>
        <w:tc>
          <w:tcPr>
            <w:tcW w:w="1520" w:type="pct"/>
            <w:vAlign w:val="center"/>
          </w:tcPr>
          <w:p w14:paraId="3AC9C3EB"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Scientific study and technology development in the fields of science and technology</w:t>
            </w:r>
          </w:p>
          <w:p w14:paraId="696DEEF4"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szCs w:val="22"/>
              </w:rPr>
            </w:pPr>
            <w:r w:rsidRPr="00E72358">
              <w:rPr>
                <w:i/>
                <w:color w:val="000000" w:themeColor="text1"/>
                <w:sz w:val="22"/>
              </w:rPr>
              <w:t>Details:</w:t>
            </w:r>
          </w:p>
          <w:p w14:paraId="3974E5A7"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szCs w:val="22"/>
              </w:rPr>
            </w:pPr>
            <w:r w:rsidRPr="00E72358">
              <w:rPr>
                <w:i/>
                <w:color w:val="000000" w:themeColor="text1"/>
                <w:sz w:val="22"/>
              </w:rPr>
              <w:t>- Scientific research and technology development in the fields of new product generation such as hydro, bio-fuel, synthesis fuel, etc.;</w:t>
            </w:r>
          </w:p>
          <w:p w14:paraId="549AF76E"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 Scientific research and technology development in the fields of new energy product, new fuel, green and clean energy.</w:t>
            </w:r>
          </w:p>
        </w:tc>
        <w:tc>
          <w:tcPr>
            <w:tcW w:w="608" w:type="pct"/>
            <w:vAlign w:val="center"/>
          </w:tcPr>
          <w:p w14:paraId="581326E7"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7212</w:t>
            </w:r>
          </w:p>
        </w:tc>
        <w:tc>
          <w:tcPr>
            <w:tcW w:w="710" w:type="pct"/>
            <w:vAlign w:val="center"/>
          </w:tcPr>
          <w:p w14:paraId="71C853FE"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25871BB6" w14:textId="05FF4DB2" w:rsidTr="006608EA">
        <w:trPr>
          <w:trHeight w:val="79"/>
        </w:trPr>
        <w:tc>
          <w:tcPr>
            <w:tcW w:w="1588" w:type="pct"/>
            <w:vAlign w:val="center"/>
          </w:tcPr>
          <w:p w14:paraId="3594236C"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Pollution processing and other waste management activities</w:t>
            </w:r>
          </w:p>
        </w:tc>
        <w:tc>
          <w:tcPr>
            <w:tcW w:w="574" w:type="pct"/>
            <w:vAlign w:val="center"/>
          </w:tcPr>
          <w:p w14:paraId="0F1FAEEB"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3900</w:t>
            </w:r>
          </w:p>
        </w:tc>
        <w:tc>
          <w:tcPr>
            <w:tcW w:w="1520" w:type="pct"/>
            <w:vAlign w:val="center"/>
          </w:tcPr>
          <w:p w14:paraId="4D862830"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Pollution processing and other waste management activities</w:t>
            </w:r>
          </w:p>
        </w:tc>
        <w:tc>
          <w:tcPr>
            <w:tcW w:w="608" w:type="pct"/>
            <w:vAlign w:val="center"/>
          </w:tcPr>
          <w:p w14:paraId="2EC0A9D5"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3900</w:t>
            </w:r>
          </w:p>
        </w:tc>
        <w:tc>
          <w:tcPr>
            <w:tcW w:w="710" w:type="pct"/>
            <w:vAlign w:val="center"/>
          </w:tcPr>
          <w:p w14:paraId="3040158A"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43547D39" w14:textId="62C44B8D" w:rsidTr="006608EA">
        <w:trPr>
          <w:trHeight w:val="79"/>
        </w:trPr>
        <w:tc>
          <w:tcPr>
            <w:tcW w:w="1588" w:type="pct"/>
            <w:vAlign w:val="center"/>
          </w:tcPr>
          <w:p w14:paraId="4B3EE105"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Maintenance and repair of motorbikes and motorcycles</w:t>
            </w:r>
          </w:p>
        </w:tc>
        <w:tc>
          <w:tcPr>
            <w:tcW w:w="574" w:type="pct"/>
            <w:vAlign w:val="center"/>
          </w:tcPr>
          <w:p w14:paraId="464B56BB"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4542</w:t>
            </w:r>
          </w:p>
        </w:tc>
        <w:tc>
          <w:tcPr>
            <w:tcW w:w="1520" w:type="pct"/>
            <w:vAlign w:val="center"/>
          </w:tcPr>
          <w:p w14:paraId="534B1C93"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Repair and maintenance of motorbikes and motorcycles</w:t>
            </w:r>
          </w:p>
        </w:tc>
        <w:tc>
          <w:tcPr>
            <w:tcW w:w="608" w:type="pct"/>
            <w:vAlign w:val="center"/>
          </w:tcPr>
          <w:p w14:paraId="039408AD"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9532</w:t>
            </w:r>
          </w:p>
        </w:tc>
        <w:tc>
          <w:tcPr>
            <w:tcW w:w="710" w:type="pct"/>
            <w:vAlign w:val="center"/>
          </w:tcPr>
          <w:p w14:paraId="611D7D15" w14:textId="17AE0D10"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sector name and code in accordance with the Decision No. 36.</w:t>
            </w:r>
          </w:p>
        </w:tc>
      </w:tr>
      <w:tr w:rsidR="00747A7E" w:rsidRPr="00E72358" w14:paraId="67BEA6BF" w14:textId="4727C81B" w:rsidTr="006608EA">
        <w:trPr>
          <w:trHeight w:val="79"/>
        </w:trPr>
        <w:tc>
          <w:tcPr>
            <w:tcW w:w="1588" w:type="pct"/>
            <w:vAlign w:val="center"/>
          </w:tcPr>
          <w:p w14:paraId="1B54D172"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Maintenance and repair of automobiles and other motor vehicles</w:t>
            </w:r>
          </w:p>
        </w:tc>
        <w:tc>
          <w:tcPr>
            <w:tcW w:w="574" w:type="pct"/>
            <w:vAlign w:val="center"/>
          </w:tcPr>
          <w:p w14:paraId="1FF3BECF"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4520</w:t>
            </w:r>
          </w:p>
        </w:tc>
        <w:tc>
          <w:tcPr>
            <w:tcW w:w="1520" w:type="pct"/>
            <w:vAlign w:val="center"/>
          </w:tcPr>
          <w:p w14:paraId="64EBCE1C"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Repair and maintenance of automobiles and other motor vehicles</w:t>
            </w:r>
          </w:p>
        </w:tc>
        <w:tc>
          <w:tcPr>
            <w:tcW w:w="608" w:type="pct"/>
            <w:vAlign w:val="center"/>
          </w:tcPr>
          <w:p w14:paraId="454EE9E1"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9531</w:t>
            </w:r>
          </w:p>
        </w:tc>
        <w:tc>
          <w:tcPr>
            <w:tcW w:w="710" w:type="pct"/>
            <w:vAlign w:val="center"/>
          </w:tcPr>
          <w:p w14:paraId="7F6F312E" w14:textId="1C1CF2F2"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sector name and code in accordance with the Decision No. 36.</w:t>
            </w:r>
          </w:p>
        </w:tc>
      </w:tr>
      <w:tr w:rsidR="00747A7E" w:rsidRPr="00E72358" w14:paraId="1037ECB2" w14:textId="0796B7F4" w:rsidTr="006608EA">
        <w:trPr>
          <w:trHeight w:val="79"/>
        </w:trPr>
        <w:tc>
          <w:tcPr>
            <w:tcW w:w="1588" w:type="pct"/>
            <w:vMerge w:val="restart"/>
            <w:vAlign w:val="center"/>
          </w:tcPr>
          <w:p w14:paraId="180FE31A"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Sales of motorbike and motorcycle accessories and spare parts</w:t>
            </w:r>
          </w:p>
          <w:p w14:paraId="34881DA2"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(Excluding auction activity)</w:t>
            </w:r>
          </w:p>
        </w:tc>
        <w:tc>
          <w:tcPr>
            <w:tcW w:w="574" w:type="pct"/>
            <w:vMerge w:val="restart"/>
            <w:vAlign w:val="center"/>
          </w:tcPr>
          <w:p w14:paraId="64E5AABD"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4543</w:t>
            </w:r>
          </w:p>
        </w:tc>
        <w:tc>
          <w:tcPr>
            <w:tcW w:w="1520" w:type="pct"/>
            <w:vAlign w:val="center"/>
          </w:tcPr>
          <w:p w14:paraId="59D3FB2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Wholesales of motorbikes, motorcycles and its accessories</w:t>
            </w:r>
          </w:p>
          <w:p w14:paraId="34574051" w14:textId="77777777" w:rsidR="006608EA" w:rsidRPr="00E72358" w:rsidRDefault="006608EA" w:rsidP="004A5F3B">
            <w:pPr>
              <w:widowControl w:val="0"/>
              <w:adjustRightInd w:val="0"/>
              <w:snapToGrid w:val="0"/>
              <w:spacing w:line="276" w:lineRule="auto"/>
              <w:jc w:val="both"/>
              <w:rPr>
                <w:rFonts w:cs="Times New Roman"/>
                <w:i/>
                <w:iCs/>
                <w:color w:val="000000" w:themeColor="text1"/>
                <w:sz w:val="22"/>
              </w:rPr>
            </w:pPr>
            <w:r w:rsidRPr="00E72358">
              <w:rPr>
                <w:rFonts w:cs="Times New Roman"/>
                <w:i/>
                <w:color w:val="000000" w:themeColor="text1"/>
                <w:sz w:val="22"/>
              </w:rPr>
              <w:t>Details: Wholesales of motorbike and motorcycle accessories and spare parts</w:t>
            </w:r>
          </w:p>
          <w:p w14:paraId="124B36E6"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(Excluding auction activity)</w:t>
            </w:r>
          </w:p>
        </w:tc>
        <w:tc>
          <w:tcPr>
            <w:tcW w:w="608" w:type="pct"/>
            <w:vAlign w:val="center"/>
          </w:tcPr>
          <w:p w14:paraId="6A85D65E"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4663</w:t>
            </w:r>
          </w:p>
        </w:tc>
        <w:tc>
          <w:tcPr>
            <w:tcW w:w="710" w:type="pct"/>
            <w:vMerge w:val="restart"/>
            <w:vAlign w:val="center"/>
          </w:tcPr>
          <w:p w14:paraId="2B7DB28F" w14:textId="457AEFF3"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 xml:space="preserve">Change sector name and code, and details of the sector code in accordance with the Decision No. </w:t>
            </w:r>
            <w:r w:rsidRPr="00E72358">
              <w:rPr>
                <w:rFonts w:cs="Times New Roman"/>
                <w:color w:val="000000" w:themeColor="text1"/>
                <w:sz w:val="22"/>
              </w:rPr>
              <w:lastRenderedPageBreak/>
              <w:t>36.</w:t>
            </w:r>
          </w:p>
        </w:tc>
      </w:tr>
      <w:tr w:rsidR="00747A7E" w:rsidRPr="00E72358" w14:paraId="40FA6A35" w14:textId="15481F0F" w:rsidTr="006608EA">
        <w:trPr>
          <w:trHeight w:val="79"/>
        </w:trPr>
        <w:tc>
          <w:tcPr>
            <w:tcW w:w="1588" w:type="pct"/>
            <w:vMerge/>
            <w:vAlign w:val="center"/>
          </w:tcPr>
          <w:p w14:paraId="4C802CD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p>
        </w:tc>
        <w:tc>
          <w:tcPr>
            <w:tcW w:w="574" w:type="pct"/>
            <w:vMerge/>
            <w:vAlign w:val="center"/>
          </w:tcPr>
          <w:p w14:paraId="6C4565E8"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p>
        </w:tc>
        <w:tc>
          <w:tcPr>
            <w:tcW w:w="1520" w:type="pct"/>
            <w:vAlign w:val="center"/>
          </w:tcPr>
          <w:p w14:paraId="3D6376C2"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 xml:space="preserve">Retails of motorbikes, motorcycles and its </w:t>
            </w:r>
            <w:r w:rsidRPr="00E72358">
              <w:rPr>
                <w:rFonts w:cs="Times New Roman"/>
                <w:color w:val="000000" w:themeColor="text1"/>
                <w:sz w:val="22"/>
              </w:rPr>
              <w:lastRenderedPageBreak/>
              <w:t>accessories</w:t>
            </w:r>
          </w:p>
          <w:p w14:paraId="2BCFC586" w14:textId="77777777" w:rsidR="006608EA" w:rsidRPr="00E72358" w:rsidRDefault="006608EA" w:rsidP="004A5F3B">
            <w:pPr>
              <w:widowControl w:val="0"/>
              <w:adjustRightInd w:val="0"/>
              <w:snapToGrid w:val="0"/>
              <w:spacing w:line="276" w:lineRule="auto"/>
              <w:jc w:val="both"/>
              <w:rPr>
                <w:rFonts w:cs="Times New Roman"/>
                <w:i/>
                <w:iCs/>
                <w:color w:val="000000" w:themeColor="text1"/>
                <w:sz w:val="22"/>
                <w:u w:val="single"/>
              </w:rPr>
            </w:pPr>
            <w:r w:rsidRPr="00E72358">
              <w:rPr>
                <w:rFonts w:cs="Times New Roman"/>
                <w:i/>
                <w:color w:val="000000" w:themeColor="text1"/>
                <w:sz w:val="22"/>
                <w:u w:val="single"/>
              </w:rPr>
              <w:t>Details: Retails of motorbike and motorcycle accessories and spare parts</w:t>
            </w:r>
          </w:p>
        </w:tc>
        <w:tc>
          <w:tcPr>
            <w:tcW w:w="608" w:type="pct"/>
            <w:vAlign w:val="center"/>
          </w:tcPr>
          <w:p w14:paraId="5CD95F5F"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lastRenderedPageBreak/>
              <w:t>4783</w:t>
            </w:r>
          </w:p>
        </w:tc>
        <w:tc>
          <w:tcPr>
            <w:tcW w:w="710" w:type="pct"/>
            <w:vMerge/>
            <w:vAlign w:val="center"/>
          </w:tcPr>
          <w:p w14:paraId="1A2CBA7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p>
        </w:tc>
      </w:tr>
      <w:tr w:rsidR="00747A7E" w:rsidRPr="00E72358" w14:paraId="05708720" w14:textId="54340B38" w:rsidTr="006608EA">
        <w:trPr>
          <w:trHeight w:val="79"/>
        </w:trPr>
        <w:tc>
          <w:tcPr>
            <w:tcW w:w="1588" w:type="pct"/>
            <w:vMerge w:val="restart"/>
            <w:vAlign w:val="center"/>
          </w:tcPr>
          <w:p w14:paraId="61C93A36"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lastRenderedPageBreak/>
              <w:t>Sales of automobile and motor vehicle accessories and spare parts.</w:t>
            </w:r>
          </w:p>
          <w:p w14:paraId="7FCB03FA"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(Excluding auction activity)</w:t>
            </w:r>
          </w:p>
        </w:tc>
        <w:tc>
          <w:tcPr>
            <w:tcW w:w="574" w:type="pct"/>
            <w:vMerge w:val="restart"/>
            <w:vAlign w:val="center"/>
          </w:tcPr>
          <w:p w14:paraId="2A649046"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4530</w:t>
            </w:r>
          </w:p>
        </w:tc>
        <w:tc>
          <w:tcPr>
            <w:tcW w:w="1520" w:type="pct"/>
            <w:vAlign w:val="center"/>
          </w:tcPr>
          <w:p w14:paraId="6EFF8A0B"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Wholesales of automobile and motor vehicle accessories and spare parts.</w:t>
            </w:r>
          </w:p>
          <w:p w14:paraId="5C5FC62D"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(Excluding auction activity)</w:t>
            </w:r>
          </w:p>
        </w:tc>
        <w:tc>
          <w:tcPr>
            <w:tcW w:w="608" w:type="pct"/>
            <w:vAlign w:val="center"/>
          </w:tcPr>
          <w:p w14:paraId="614281B0"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4662</w:t>
            </w:r>
          </w:p>
        </w:tc>
        <w:tc>
          <w:tcPr>
            <w:tcW w:w="710" w:type="pct"/>
            <w:vMerge w:val="restart"/>
            <w:vAlign w:val="center"/>
          </w:tcPr>
          <w:p w14:paraId="4F7638DE" w14:textId="687746B2"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sector name and code in accordance with the Decision No. 36.</w:t>
            </w:r>
          </w:p>
        </w:tc>
      </w:tr>
      <w:tr w:rsidR="00747A7E" w:rsidRPr="00E72358" w14:paraId="7B03CCBD" w14:textId="5FBCF4B2" w:rsidTr="006608EA">
        <w:trPr>
          <w:trHeight w:val="79"/>
        </w:trPr>
        <w:tc>
          <w:tcPr>
            <w:tcW w:w="1588" w:type="pct"/>
            <w:vMerge/>
            <w:vAlign w:val="center"/>
          </w:tcPr>
          <w:p w14:paraId="48FC8E5F"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p>
        </w:tc>
        <w:tc>
          <w:tcPr>
            <w:tcW w:w="574" w:type="pct"/>
            <w:vMerge/>
            <w:vAlign w:val="center"/>
          </w:tcPr>
          <w:p w14:paraId="1BEEB1C0"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p>
        </w:tc>
        <w:tc>
          <w:tcPr>
            <w:tcW w:w="1520" w:type="pct"/>
            <w:vAlign w:val="center"/>
          </w:tcPr>
          <w:p w14:paraId="2F25C10F" w14:textId="77777777" w:rsidR="006608EA" w:rsidRPr="00E72358" w:rsidRDefault="006608EA" w:rsidP="004A5F3B">
            <w:pPr>
              <w:widowControl w:val="0"/>
              <w:adjustRightInd w:val="0"/>
              <w:snapToGrid w:val="0"/>
              <w:spacing w:line="276" w:lineRule="auto"/>
              <w:jc w:val="both"/>
              <w:rPr>
                <w:rFonts w:cs="Times New Roman"/>
                <w:color w:val="000000" w:themeColor="text1"/>
                <w:sz w:val="22"/>
                <w:u w:val="single"/>
              </w:rPr>
            </w:pPr>
            <w:r w:rsidRPr="00E72358">
              <w:rPr>
                <w:rFonts w:cs="Times New Roman"/>
                <w:color w:val="000000" w:themeColor="text1"/>
                <w:sz w:val="22"/>
                <w:u w:val="single"/>
              </w:rPr>
              <w:t>Retails of automobile and motor vehicle accessories and spare parts.</w:t>
            </w:r>
          </w:p>
        </w:tc>
        <w:tc>
          <w:tcPr>
            <w:tcW w:w="608" w:type="pct"/>
            <w:vAlign w:val="center"/>
          </w:tcPr>
          <w:p w14:paraId="566C19AA"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4782</w:t>
            </w:r>
          </w:p>
        </w:tc>
        <w:tc>
          <w:tcPr>
            <w:tcW w:w="710" w:type="pct"/>
            <w:vMerge/>
            <w:vAlign w:val="center"/>
          </w:tcPr>
          <w:p w14:paraId="0C2177F6"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p>
        </w:tc>
      </w:tr>
      <w:tr w:rsidR="00747A7E" w:rsidRPr="00E72358" w14:paraId="1E4700CE" w14:textId="63CFE044" w:rsidTr="006608EA">
        <w:trPr>
          <w:trHeight w:val="79"/>
        </w:trPr>
        <w:tc>
          <w:tcPr>
            <w:tcW w:w="1588" w:type="pct"/>
            <w:vAlign w:val="center"/>
          </w:tcPr>
          <w:p w14:paraId="5BD26D96"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Repair of other equipment</w:t>
            </w:r>
          </w:p>
        </w:tc>
        <w:tc>
          <w:tcPr>
            <w:tcW w:w="574" w:type="pct"/>
            <w:vAlign w:val="center"/>
          </w:tcPr>
          <w:p w14:paraId="32C3084E"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3319</w:t>
            </w:r>
          </w:p>
        </w:tc>
        <w:tc>
          <w:tcPr>
            <w:tcW w:w="1520" w:type="pct"/>
            <w:vAlign w:val="center"/>
          </w:tcPr>
          <w:p w14:paraId="7F2278FD"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Repair and maintenance of other equipment</w:t>
            </w:r>
          </w:p>
        </w:tc>
        <w:tc>
          <w:tcPr>
            <w:tcW w:w="608" w:type="pct"/>
            <w:vAlign w:val="center"/>
          </w:tcPr>
          <w:p w14:paraId="68888E40"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3319</w:t>
            </w:r>
          </w:p>
        </w:tc>
        <w:tc>
          <w:tcPr>
            <w:tcW w:w="710" w:type="pct"/>
            <w:vAlign w:val="center"/>
          </w:tcPr>
          <w:p w14:paraId="59C60F54" w14:textId="5EE3C84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the sector name accordance with the Decision No. 36.</w:t>
            </w:r>
          </w:p>
        </w:tc>
      </w:tr>
      <w:tr w:rsidR="00747A7E" w:rsidRPr="00E72358" w14:paraId="1D4DC5F9" w14:textId="360537C3" w:rsidTr="006608EA">
        <w:trPr>
          <w:trHeight w:val="79"/>
        </w:trPr>
        <w:tc>
          <w:tcPr>
            <w:tcW w:w="1588" w:type="pct"/>
            <w:vAlign w:val="center"/>
          </w:tcPr>
          <w:p w14:paraId="24F698E8"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Direct supporting services for roadway</w:t>
            </w:r>
          </w:p>
          <w:p w14:paraId="2354CD5B"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szCs w:val="22"/>
              </w:rPr>
            </w:pPr>
            <w:r w:rsidRPr="00E72358">
              <w:rPr>
                <w:i/>
                <w:color w:val="000000" w:themeColor="text1"/>
                <w:sz w:val="22"/>
              </w:rPr>
              <w:t>Details:</w:t>
            </w:r>
          </w:p>
          <w:p w14:paraId="0756E412"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rPr>
            </w:pPr>
            <w:r w:rsidRPr="00E72358">
              <w:rPr>
                <w:i/>
                <w:color w:val="000000" w:themeColor="text1"/>
                <w:sz w:val="22"/>
              </w:rPr>
              <w:t>-Management activity of parking lot and road vehicles; Road stowage and rescue activities</w:t>
            </w:r>
          </w:p>
          <w:p w14:paraId="2B782902" w14:textId="26A850EB"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rPr>
            </w:pPr>
            <w:r w:rsidRPr="00E72358">
              <w:rPr>
                <w:i/>
                <w:color w:val="000000" w:themeColor="text1"/>
                <w:sz w:val="22"/>
              </w:rPr>
              <w:t xml:space="preserve">- Trading in </w:t>
            </w:r>
            <w:r w:rsidR="0091386A" w:rsidRPr="00E72358">
              <w:rPr>
                <w:i/>
                <w:color w:val="000000" w:themeColor="text1"/>
                <w:sz w:val="22"/>
              </w:rPr>
              <w:t>rest stop</w:t>
            </w:r>
            <w:r w:rsidRPr="00E72358">
              <w:rPr>
                <w:i/>
                <w:color w:val="000000" w:themeColor="text1"/>
                <w:sz w:val="22"/>
              </w:rPr>
              <w:t xml:space="preserve"> service</w:t>
            </w:r>
            <w:r w:rsidR="0091386A" w:rsidRPr="00E72358">
              <w:rPr>
                <w:i/>
                <w:color w:val="000000" w:themeColor="text1"/>
                <w:sz w:val="22"/>
              </w:rPr>
              <w:t>s</w:t>
            </w:r>
            <w:r w:rsidRPr="00E72358">
              <w:rPr>
                <w:i/>
                <w:color w:val="000000" w:themeColor="text1"/>
                <w:sz w:val="22"/>
              </w:rPr>
              <w:t>;</w:t>
            </w:r>
          </w:p>
          <w:p w14:paraId="3BC9FA7C"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rPr>
            </w:pPr>
            <w:r w:rsidRPr="00E72358">
              <w:rPr>
                <w:i/>
                <w:color w:val="000000" w:themeColor="text1"/>
                <w:sz w:val="22"/>
              </w:rPr>
              <w:t>- Investment and trading in charging station, electric charging pillars and relevant services;</w:t>
            </w:r>
          </w:p>
          <w:p w14:paraId="4E9B28D5"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Traffic vehicle care service.</w:t>
            </w:r>
          </w:p>
        </w:tc>
        <w:tc>
          <w:tcPr>
            <w:tcW w:w="574" w:type="pct"/>
            <w:vAlign w:val="center"/>
          </w:tcPr>
          <w:p w14:paraId="317A5FA7"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5225</w:t>
            </w:r>
          </w:p>
        </w:tc>
        <w:tc>
          <w:tcPr>
            <w:tcW w:w="1520" w:type="pct"/>
            <w:vAlign w:val="center"/>
          </w:tcPr>
          <w:p w14:paraId="3EB44F34"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Direct supporting services for roadway</w:t>
            </w:r>
          </w:p>
          <w:p w14:paraId="264F46F3"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szCs w:val="22"/>
              </w:rPr>
            </w:pPr>
            <w:r w:rsidRPr="00E72358">
              <w:rPr>
                <w:i/>
                <w:color w:val="000000" w:themeColor="text1"/>
                <w:sz w:val="22"/>
              </w:rPr>
              <w:t>Details:</w:t>
            </w:r>
          </w:p>
          <w:p w14:paraId="4A618F93"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rPr>
            </w:pPr>
            <w:r w:rsidRPr="00E72358">
              <w:rPr>
                <w:i/>
                <w:color w:val="000000" w:themeColor="text1"/>
                <w:sz w:val="22"/>
              </w:rPr>
              <w:t>-Management activity of parking lot and road vehicles; Road stowage and rescue activities</w:t>
            </w:r>
          </w:p>
          <w:p w14:paraId="1BCDD631" w14:textId="076AB4D4"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rPr>
            </w:pPr>
            <w:r w:rsidRPr="00E72358">
              <w:rPr>
                <w:i/>
                <w:color w:val="000000" w:themeColor="text1"/>
                <w:sz w:val="22"/>
              </w:rPr>
              <w:t xml:space="preserve">- Trading in </w:t>
            </w:r>
            <w:r w:rsidR="003C5CC6" w:rsidRPr="00E72358">
              <w:rPr>
                <w:i/>
                <w:color w:val="000000" w:themeColor="text1"/>
                <w:sz w:val="22"/>
              </w:rPr>
              <w:t>rest stop services</w:t>
            </w:r>
            <w:r w:rsidRPr="00E72358">
              <w:rPr>
                <w:i/>
                <w:color w:val="000000" w:themeColor="text1"/>
                <w:sz w:val="22"/>
              </w:rPr>
              <w:t>;</w:t>
            </w:r>
          </w:p>
          <w:p w14:paraId="429EDCD5"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rPr>
            </w:pPr>
            <w:r w:rsidRPr="00E72358">
              <w:rPr>
                <w:i/>
                <w:color w:val="000000" w:themeColor="text1"/>
                <w:sz w:val="22"/>
              </w:rPr>
              <w:t>- Investment and trading in charging station, electric charging pillars and relevant services;</w:t>
            </w:r>
          </w:p>
          <w:p w14:paraId="638AB8B5"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Traffic vehicle care service.</w:t>
            </w:r>
          </w:p>
        </w:tc>
        <w:tc>
          <w:tcPr>
            <w:tcW w:w="608" w:type="pct"/>
            <w:vAlign w:val="center"/>
          </w:tcPr>
          <w:p w14:paraId="5BDCF615"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5225</w:t>
            </w:r>
          </w:p>
        </w:tc>
        <w:tc>
          <w:tcPr>
            <w:tcW w:w="710" w:type="pct"/>
            <w:vAlign w:val="center"/>
          </w:tcPr>
          <w:p w14:paraId="46D966E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521C9BE9" w14:textId="653D8BB7" w:rsidTr="006608EA">
        <w:trPr>
          <w:trHeight w:val="79"/>
        </w:trPr>
        <w:tc>
          <w:tcPr>
            <w:tcW w:w="1588" w:type="pct"/>
            <w:vMerge w:val="restart"/>
            <w:vAlign w:val="center"/>
          </w:tcPr>
          <w:p w14:paraId="4BB0A651"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Short-term residence service</w:t>
            </w:r>
          </w:p>
          <w:p w14:paraId="52E9487E" w14:textId="22350364"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xml:space="preserve">Details: </w:t>
            </w:r>
            <w:r w:rsidR="00410CB1" w:rsidRPr="00E72358">
              <w:rPr>
                <w:rFonts w:cs="Times New Roman"/>
                <w:i/>
                <w:color w:val="000000" w:themeColor="text1"/>
                <w:sz w:val="22"/>
              </w:rPr>
              <w:t>Hotel services</w:t>
            </w:r>
            <w:r w:rsidRPr="00E72358">
              <w:rPr>
                <w:rFonts w:cs="Times New Roman"/>
                <w:i/>
                <w:color w:val="000000" w:themeColor="text1"/>
                <w:sz w:val="22"/>
              </w:rPr>
              <w:t>, Guest House, and motels trading in short-term residence services</w:t>
            </w:r>
          </w:p>
        </w:tc>
        <w:tc>
          <w:tcPr>
            <w:tcW w:w="574" w:type="pct"/>
            <w:vMerge w:val="restart"/>
            <w:vAlign w:val="center"/>
          </w:tcPr>
          <w:p w14:paraId="5A8EE629"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5510</w:t>
            </w:r>
          </w:p>
        </w:tc>
        <w:tc>
          <w:tcPr>
            <w:tcW w:w="1520" w:type="pct"/>
            <w:vAlign w:val="center"/>
          </w:tcPr>
          <w:p w14:paraId="37208B50" w14:textId="66CFD9C2" w:rsidR="006608EA" w:rsidRPr="00E72358" w:rsidRDefault="00410CB1"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Hotel services</w:t>
            </w:r>
            <w:r w:rsidR="006608EA" w:rsidRPr="00E72358">
              <w:rPr>
                <w:rFonts w:cs="Times New Roman"/>
                <w:color w:val="000000" w:themeColor="text1"/>
                <w:sz w:val="22"/>
              </w:rPr>
              <w:t xml:space="preserve"> and similar accommodation services</w:t>
            </w:r>
          </w:p>
          <w:p w14:paraId="768D3C6C" w14:textId="4EE1DDCA" w:rsidR="006608EA" w:rsidRPr="00E72358" w:rsidRDefault="006608EA" w:rsidP="0091386A">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Ho</w:t>
            </w:r>
            <w:r w:rsidR="0091386A" w:rsidRPr="00E72358">
              <w:rPr>
                <w:rFonts w:cs="Times New Roman"/>
                <w:i/>
                <w:color w:val="000000" w:themeColor="text1"/>
                <w:sz w:val="22"/>
              </w:rPr>
              <w:t>tel services</w:t>
            </w:r>
            <w:r w:rsidRPr="00E72358">
              <w:rPr>
                <w:rFonts w:cs="Times New Roman"/>
                <w:i/>
                <w:color w:val="000000" w:themeColor="text1"/>
                <w:sz w:val="22"/>
              </w:rPr>
              <w:t xml:space="preserve"> and trading in short-term accommodation services</w:t>
            </w:r>
          </w:p>
        </w:tc>
        <w:tc>
          <w:tcPr>
            <w:tcW w:w="608" w:type="pct"/>
            <w:vAlign w:val="center"/>
          </w:tcPr>
          <w:p w14:paraId="2353FC90"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5510</w:t>
            </w:r>
          </w:p>
        </w:tc>
        <w:tc>
          <w:tcPr>
            <w:tcW w:w="710" w:type="pct"/>
            <w:vMerge w:val="restart"/>
            <w:vAlign w:val="center"/>
          </w:tcPr>
          <w:p w14:paraId="680CE791" w14:textId="00F98BE5"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sector name and code, and details of the sector code in accordance with the Decision No. 36.</w:t>
            </w:r>
          </w:p>
        </w:tc>
      </w:tr>
      <w:tr w:rsidR="00747A7E" w:rsidRPr="00E72358" w14:paraId="67D56117" w14:textId="0ACBF746" w:rsidTr="006608EA">
        <w:trPr>
          <w:trHeight w:val="79"/>
        </w:trPr>
        <w:tc>
          <w:tcPr>
            <w:tcW w:w="1588" w:type="pct"/>
            <w:vMerge/>
            <w:vAlign w:val="center"/>
          </w:tcPr>
          <w:p w14:paraId="2E962B9D"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p>
        </w:tc>
        <w:tc>
          <w:tcPr>
            <w:tcW w:w="574" w:type="pct"/>
            <w:vMerge/>
            <w:vAlign w:val="center"/>
          </w:tcPr>
          <w:p w14:paraId="5213E413"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p>
        </w:tc>
        <w:tc>
          <w:tcPr>
            <w:tcW w:w="1520" w:type="pct"/>
            <w:vAlign w:val="center"/>
          </w:tcPr>
          <w:p w14:paraId="60219606"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color w:val="000000" w:themeColor="text1"/>
                <w:sz w:val="22"/>
                <w:szCs w:val="22"/>
              </w:rPr>
            </w:pPr>
            <w:r w:rsidRPr="00E72358">
              <w:rPr>
                <w:color w:val="000000" w:themeColor="text1"/>
                <w:sz w:val="22"/>
              </w:rPr>
              <w:t>Short-term accommodation service</w:t>
            </w:r>
          </w:p>
          <w:p w14:paraId="03855E51"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Details: Guest house, motels trading in short-term accommodation services</w:t>
            </w:r>
          </w:p>
        </w:tc>
        <w:tc>
          <w:tcPr>
            <w:tcW w:w="608" w:type="pct"/>
            <w:vAlign w:val="center"/>
          </w:tcPr>
          <w:p w14:paraId="2E7FFFC0"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5520</w:t>
            </w:r>
          </w:p>
        </w:tc>
        <w:tc>
          <w:tcPr>
            <w:tcW w:w="710" w:type="pct"/>
            <w:vMerge/>
            <w:vAlign w:val="center"/>
          </w:tcPr>
          <w:p w14:paraId="7F8336AC"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p>
        </w:tc>
      </w:tr>
      <w:tr w:rsidR="00747A7E" w:rsidRPr="00E72358" w14:paraId="521B1D71" w14:textId="2DBF2286" w:rsidTr="006608EA">
        <w:trPr>
          <w:trHeight w:val="79"/>
        </w:trPr>
        <w:tc>
          <w:tcPr>
            <w:tcW w:w="1588" w:type="pct"/>
            <w:vAlign w:val="center"/>
          </w:tcPr>
          <w:p w14:paraId="7FFA8BE3"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color w:val="000000" w:themeColor="text1"/>
                <w:sz w:val="22"/>
                <w:szCs w:val="22"/>
              </w:rPr>
            </w:pPr>
            <w:r w:rsidRPr="00E72358">
              <w:rPr>
                <w:color w:val="000000" w:themeColor="text1"/>
                <w:sz w:val="22"/>
              </w:rPr>
              <w:lastRenderedPageBreak/>
              <w:t>Restaurants and mobile food and beverage services</w:t>
            </w:r>
          </w:p>
          <w:p w14:paraId="49D5902E"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(Excluding business in bar, karaoke and dancing halls)</w:t>
            </w:r>
          </w:p>
        </w:tc>
        <w:tc>
          <w:tcPr>
            <w:tcW w:w="574" w:type="pct"/>
            <w:vAlign w:val="center"/>
          </w:tcPr>
          <w:p w14:paraId="21091359"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5610</w:t>
            </w:r>
          </w:p>
        </w:tc>
        <w:tc>
          <w:tcPr>
            <w:tcW w:w="1520" w:type="pct"/>
            <w:vAlign w:val="center"/>
          </w:tcPr>
          <w:p w14:paraId="7438009D"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color w:val="000000" w:themeColor="text1"/>
                <w:sz w:val="22"/>
                <w:szCs w:val="22"/>
              </w:rPr>
            </w:pPr>
            <w:r w:rsidRPr="00E72358">
              <w:rPr>
                <w:color w:val="000000" w:themeColor="text1"/>
                <w:sz w:val="22"/>
              </w:rPr>
              <w:t>Restaurants and mobile food and beverage services</w:t>
            </w:r>
          </w:p>
          <w:p w14:paraId="237C8B96"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(Excluding business in bar, karaoke and dancing halls)</w:t>
            </w:r>
          </w:p>
        </w:tc>
        <w:tc>
          <w:tcPr>
            <w:tcW w:w="608" w:type="pct"/>
            <w:vAlign w:val="center"/>
          </w:tcPr>
          <w:p w14:paraId="7C03B967"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5610</w:t>
            </w:r>
          </w:p>
        </w:tc>
        <w:tc>
          <w:tcPr>
            <w:tcW w:w="710" w:type="pct"/>
            <w:vAlign w:val="center"/>
          </w:tcPr>
          <w:p w14:paraId="35ECA24C"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5EE56D60" w14:textId="57B7ACFB" w:rsidTr="006608EA">
        <w:trPr>
          <w:trHeight w:val="79"/>
        </w:trPr>
        <w:tc>
          <w:tcPr>
            <w:tcW w:w="1588" w:type="pct"/>
            <w:vAlign w:val="center"/>
          </w:tcPr>
          <w:p w14:paraId="75455E1A"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Beverage services</w:t>
            </w:r>
          </w:p>
          <w:p w14:paraId="0137F46D"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Coffee and beverage house</w:t>
            </w:r>
          </w:p>
        </w:tc>
        <w:tc>
          <w:tcPr>
            <w:tcW w:w="574" w:type="pct"/>
            <w:vAlign w:val="center"/>
          </w:tcPr>
          <w:p w14:paraId="5AA89924"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5630</w:t>
            </w:r>
          </w:p>
        </w:tc>
        <w:tc>
          <w:tcPr>
            <w:tcW w:w="1520" w:type="pct"/>
            <w:vAlign w:val="center"/>
          </w:tcPr>
          <w:p w14:paraId="1107E5FB"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Beverage services</w:t>
            </w:r>
          </w:p>
          <w:p w14:paraId="770E7C56"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Details: Coffee and beverage house</w:t>
            </w:r>
          </w:p>
        </w:tc>
        <w:tc>
          <w:tcPr>
            <w:tcW w:w="608" w:type="pct"/>
            <w:vAlign w:val="center"/>
          </w:tcPr>
          <w:p w14:paraId="01C4EB41"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5630</w:t>
            </w:r>
          </w:p>
        </w:tc>
        <w:tc>
          <w:tcPr>
            <w:tcW w:w="710" w:type="pct"/>
            <w:vAlign w:val="center"/>
          </w:tcPr>
          <w:p w14:paraId="7A81C166"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5355729F" w14:textId="66451DC6" w:rsidTr="006608EA">
        <w:trPr>
          <w:trHeight w:val="79"/>
        </w:trPr>
        <w:tc>
          <w:tcPr>
            <w:tcW w:w="1588" w:type="pct"/>
            <w:vAlign w:val="center"/>
          </w:tcPr>
          <w:p w14:paraId="22A1EE71"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Retails of foodstuff, foods, beverage, tobacco and pipe tobacco, making up a high density in the general stores</w:t>
            </w:r>
          </w:p>
        </w:tc>
        <w:tc>
          <w:tcPr>
            <w:tcW w:w="574" w:type="pct"/>
            <w:vAlign w:val="center"/>
          </w:tcPr>
          <w:p w14:paraId="3945347A"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4711</w:t>
            </w:r>
          </w:p>
        </w:tc>
        <w:tc>
          <w:tcPr>
            <w:tcW w:w="1520" w:type="pct"/>
            <w:vAlign w:val="center"/>
          </w:tcPr>
          <w:p w14:paraId="2EFAF47A"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General retails of food, foodstuff, cigarettes and pipe tobacco constituting a major share</w:t>
            </w:r>
          </w:p>
        </w:tc>
        <w:tc>
          <w:tcPr>
            <w:tcW w:w="608" w:type="pct"/>
            <w:vAlign w:val="center"/>
          </w:tcPr>
          <w:p w14:paraId="6C81C316"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4711</w:t>
            </w:r>
          </w:p>
        </w:tc>
        <w:tc>
          <w:tcPr>
            <w:tcW w:w="710" w:type="pct"/>
            <w:vAlign w:val="center"/>
          </w:tcPr>
          <w:p w14:paraId="492609DE" w14:textId="30E7F136"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the sector name accordance with the Decision No. 36.</w:t>
            </w:r>
          </w:p>
        </w:tc>
      </w:tr>
      <w:tr w:rsidR="00747A7E" w:rsidRPr="00E72358" w14:paraId="76DCC26E" w14:textId="203375AC" w:rsidTr="006608EA">
        <w:trPr>
          <w:trHeight w:val="79"/>
        </w:trPr>
        <w:tc>
          <w:tcPr>
            <w:tcW w:w="1588" w:type="pct"/>
            <w:vAlign w:val="center"/>
          </w:tcPr>
          <w:p w14:paraId="101B29F6"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Other retails in the general stores</w:t>
            </w:r>
          </w:p>
        </w:tc>
        <w:tc>
          <w:tcPr>
            <w:tcW w:w="574" w:type="pct"/>
            <w:vAlign w:val="center"/>
          </w:tcPr>
          <w:p w14:paraId="7D2580EE"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4719</w:t>
            </w:r>
          </w:p>
        </w:tc>
        <w:tc>
          <w:tcPr>
            <w:tcW w:w="1520" w:type="pct"/>
            <w:vAlign w:val="center"/>
          </w:tcPr>
          <w:p w14:paraId="22D01E01"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Other general retails</w:t>
            </w:r>
          </w:p>
        </w:tc>
        <w:tc>
          <w:tcPr>
            <w:tcW w:w="608" w:type="pct"/>
            <w:vAlign w:val="center"/>
          </w:tcPr>
          <w:p w14:paraId="251BC370"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4719</w:t>
            </w:r>
          </w:p>
        </w:tc>
        <w:tc>
          <w:tcPr>
            <w:tcW w:w="710" w:type="pct"/>
            <w:vAlign w:val="center"/>
          </w:tcPr>
          <w:p w14:paraId="35256692" w14:textId="1AC3D422"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the sector name accordance with the Decision No. 36.</w:t>
            </w:r>
          </w:p>
        </w:tc>
      </w:tr>
      <w:tr w:rsidR="00747A7E" w:rsidRPr="00E72358" w14:paraId="7DC70F3E" w14:textId="0F9D610B" w:rsidTr="006608EA">
        <w:trPr>
          <w:trHeight w:val="79"/>
        </w:trPr>
        <w:tc>
          <w:tcPr>
            <w:tcW w:w="1588" w:type="pct"/>
            <w:vAlign w:val="center"/>
          </w:tcPr>
          <w:p w14:paraId="0E1BFC89"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color w:val="000000" w:themeColor="text1"/>
                <w:sz w:val="22"/>
                <w:szCs w:val="22"/>
              </w:rPr>
            </w:pPr>
            <w:r w:rsidRPr="00E72358">
              <w:rPr>
                <w:color w:val="000000" w:themeColor="text1"/>
                <w:sz w:val="22"/>
              </w:rPr>
              <w:t>Other goods retails in the single line stores</w:t>
            </w:r>
          </w:p>
          <w:p w14:paraId="62B3CFEF"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rPr>
            </w:pPr>
            <w:r w:rsidRPr="00E72358">
              <w:rPr>
                <w:i/>
                <w:color w:val="000000" w:themeColor="text1"/>
                <w:sz w:val="22"/>
              </w:rPr>
              <w:t>Details:</w:t>
            </w:r>
          </w:p>
          <w:p w14:paraId="273CFE8F"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szCs w:val="22"/>
              </w:rPr>
            </w:pPr>
            <w:r w:rsidRPr="00E72358">
              <w:rPr>
                <w:i/>
                <w:color w:val="000000" w:themeColor="text1"/>
                <w:sz w:val="22"/>
              </w:rPr>
              <w:t>- Retails of petroleum, aviation petroleum, aviation fuel, SAF fuel and aviation fuel, dry gas products, LNG, CNG, LPG, Condensate, etc., and other energy products;</w:t>
            </w:r>
          </w:p>
          <w:p w14:paraId="69FE7BA7"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Retails of materials, chemicals, raw materials, plants and equipment to serve for production and processing of petroleum, fuel for airlines, gas products and other energy products, etc.</w:t>
            </w:r>
          </w:p>
        </w:tc>
        <w:tc>
          <w:tcPr>
            <w:tcW w:w="574" w:type="pct"/>
            <w:vAlign w:val="center"/>
          </w:tcPr>
          <w:p w14:paraId="62DAAF5A"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4773</w:t>
            </w:r>
          </w:p>
        </w:tc>
        <w:tc>
          <w:tcPr>
            <w:tcW w:w="1520" w:type="pct"/>
            <w:vAlign w:val="center"/>
          </w:tcPr>
          <w:p w14:paraId="7A85E8EF"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color w:val="000000" w:themeColor="text1"/>
                <w:sz w:val="22"/>
                <w:szCs w:val="22"/>
              </w:rPr>
            </w:pPr>
            <w:r w:rsidRPr="00E72358">
              <w:rPr>
                <w:color w:val="000000" w:themeColor="text1"/>
                <w:sz w:val="22"/>
              </w:rPr>
              <w:t>Retails of other goods (excluding automobiles, motorbikes, motor vehicles and accessories)</w:t>
            </w:r>
          </w:p>
          <w:p w14:paraId="7E45FF79" w14:textId="77777777" w:rsidR="006608EA" w:rsidRPr="00E72358" w:rsidRDefault="006608EA" w:rsidP="004A5F3B">
            <w:pPr>
              <w:pStyle w:val="NormalWeb"/>
              <w:widowControl w:val="0"/>
              <w:shd w:val="clear" w:color="auto" w:fill="FFFFFF"/>
              <w:adjustRightInd w:val="0"/>
              <w:snapToGrid w:val="0"/>
              <w:spacing w:before="0" w:beforeAutospacing="0" w:after="0" w:afterAutospacing="0" w:line="276" w:lineRule="auto"/>
              <w:jc w:val="both"/>
              <w:rPr>
                <w:i/>
                <w:color w:val="000000" w:themeColor="text1"/>
                <w:sz w:val="22"/>
                <w:u w:val="single"/>
              </w:rPr>
            </w:pPr>
            <w:r w:rsidRPr="00E72358">
              <w:rPr>
                <w:i/>
                <w:color w:val="000000" w:themeColor="text1"/>
                <w:sz w:val="22"/>
                <w:u w:val="single"/>
              </w:rPr>
              <w:t>Details: Retails of materials, chemicals, raw materials, plants and equipment to serve for production and processing of petroleum, fuel for airlines, gas products and other energy products, etc.</w:t>
            </w:r>
          </w:p>
        </w:tc>
        <w:tc>
          <w:tcPr>
            <w:tcW w:w="608" w:type="pct"/>
            <w:vAlign w:val="center"/>
          </w:tcPr>
          <w:p w14:paraId="5E66BF77"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4773</w:t>
            </w:r>
          </w:p>
        </w:tc>
        <w:tc>
          <w:tcPr>
            <w:tcW w:w="710" w:type="pct"/>
            <w:vAlign w:val="center"/>
          </w:tcPr>
          <w:p w14:paraId="26CC1179" w14:textId="5B161C3E"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sector name and details of the sector code in accordance with the Decision No. 36 as follows: Move contents at the first bullet to sector code 4730 above.</w:t>
            </w:r>
          </w:p>
        </w:tc>
      </w:tr>
      <w:tr w:rsidR="00747A7E" w:rsidRPr="00E72358" w14:paraId="7CFA33D0" w14:textId="1CE509E7" w:rsidTr="006608EA">
        <w:trPr>
          <w:trHeight w:val="79"/>
        </w:trPr>
        <w:tc>
          <w:tcPr>
            <w:tcW w:w="1588" w:type="pct"/>
            <w:vAlign w:val="center"/>
          </w:tcPr>
          <w:p w14:paraId="58A0B7E1" w14:textId="71C250EC"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 xml:space="preserve">Trading in real estate, land use rights under owner, user or </w:t>
            </w:r>
            <w:r w:rsidR="00410CB1" w:rsidRPr="00E72358">
              <w:rPr>
                <w:rFonts w:cs="Times New Roman"/>
                <w:color w:val="000000" w:themeColor="text1"/>
                <w:sz w:val="22"/>
              </w:rPr>
              <w:t>lessor</w:t>
            </w:r>
          </w:p>
          <w:p w14:paraId="28BB2468"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xml:space="preserve">Details: Lease, operation and management of non-accommodation house and land; Office </w:t>
            </w:r>
            <w:r w:rsidRPr="00E72358">
              <w:rPr>
                <w:rFonts w:cs="Times New Roman"/>
                <w:i/>
                <w:color w:val="000000" w:themeColor="text1"/>
                <w:sz w:val="22"/>
              </w:rPr>
              <w:lastRenderedPageBreak/>
              <w:t>trading and lease; lease of premises, stores, warehouses and storage fields</w:t>
            </w:r>
          </w:p>
        </w:tc>
        <w:tc>
          <w:tcPr>
            <w:tcW w:w="574" w:type="pct"/>
            <w:vAlign w:val="center"/>
          </w:tcPr>
          <w:p w14:paraId="2E707250"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lastRenderedPageBreak/>
              <w:t>6810</w:t>
            </w:r>
          </w:p>
        </w:tc>
        <w:tc>
          <w:tcPr>
            <w:tcW w:w="1520" w:type="pct"/>
            <w:vAlign w:val="center"/>
          </w:tcPr>
          <w:p w14:paraId="2ADE3A4F" w14:textId="1CCA690C"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 xml:space="preserve">Trading in real estate, land use rights under owner, user or </w:t>
            </w:r>
            <w:r w:rsidR="00410CB1" w:rsidRPr="00E72358">
              <w:rPr>
                <w:rFonts w:cs="Times New Roman"/>
                <w:color w:val="000000" w:themeColor="text1"/>
                <w:sz w:val="22"/>
              </w:rPr>
              <w:t>lessor</w:t>
            </w:r>
          </w:p>
          <w:p w14:paraId="2A6FBAF9"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xml:space="preserve">Details: Lease, operation and management of non-accommodation house and land; </w:t>
            </w:r>
            <w:r w:rsidRPr="00E72358">
              <w:rPr>
                <w:rFonts w:cs="Times New Roman"/>
                <w:i/>
                <w:color w:val="000000" w:themeColor="text1"/>
                <w:sz w:val="22"/>
              </w:rPr>
              <w:lastRenderedPageBreak/>
              <w:t>Office trading and lease; lease of premises, stores, warehouses and storage fields</w:t>
            </w:r>
          </w:p>
        </w:tc>
        <w:tc>
          <w:tcPr>
            <w:tcW w:w="608" w:type="pct"/>
            <w:vAlign w:val="center"/>
          </w:tcPr>
          <w:p w14:paraId="1B64A6DE"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lastRenderedPageBreak/>
              <w:t>6810</w:t>
            </w:r>
          </w:p>
        </w:tc>
        <w:tc>
          <w:tcPr>
            <w:tcW w:w="710" w:type="pct"/>
            <w:vAlign w:val="center"/>
          </w:tcPr>
          <w:p w14:paraId="7F626644"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60D95611" w14:textId="705589E0" w:rsidTr="006608EA">
        <w:trPr>
          <w:trHeight w:val="79"/>
        </w:trPr>
        <w:tc>
          <w:tcPr>
            <w:tcW w:w="1588" w:type="pct"/>
            <w:vAlign w:val="center"/>
          </w:tcPr>
          <w:p w14:paraId="25A2AF2C"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lastRenderedPageBreak/>
              <w:t>Advertisement</w:t>
            </w:r>
          </w:p>
          <w:p w14:paraId="6D26E128" w14:textId="556460CA"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xml:space="preserve">(Excluding </w:t>
            </w:r>
            <w:r w:rsidR="00C74071" w:rsidRPr="00E72358">
              <w:rPr>
                <w:rFonts w:cs="Times New Roman"/>
                <w:i/>
                <w:color w:val="000000" w:themeColor="text1"/>
                <w:sz w:val="22"/>
              </w:rPr>
              <w:t>tobacco</w:t>
            </w:r>
            <w:r w:rsidRPr="00E72358">
              <w:rPr>
                <w:rFonts w:cs="Times New Roman"/>
                <w:i/>
                <w:color w:val="000000" w:themeColor="text1"/>
                <w:sz w:val="22"/>
              </w:rPr>
              <w:t xml:space="preserve"> advertisement)</w:t>
            </w:r>
          </w:p>
        </w:tc>
        <w:tc>
          <w:tcPr>
            <w:tcW w:w="574" w:type="pct"/>
            <w:vAlign w:val="center"/>
          </w:tcPr>
          <w:p w14:paraId="0798A1E3"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7310</w:t>
            </w:r>
          </w:p>
        </w:tc>
        <w:tc>
          <w:tcPr>
            <w:tcW w:w="1520" w:type="pct"/>
            <w:vAlign w:val="center"/>
          </w:tcPr>
          <w:p w14:paraId="058739BD"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Advertisement</w:t>
            </w:r>
          </w:p>
          <w:p w14:paraId="2FBECAF2" w14:textId="0256D1E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xml:space="preserve">(Excluding </w:t>
            </w:r>
            <w:r w:rsidR="00C74071" w:rsidRPr="00E72358">
              <w:rPr>
                <w:rFonts w:cs="Times New Roman"/>
                <w:i/>
                <w:color w:val="000000" w:themeColor="text1"/>
                <w:sz w:val="22"/>
              </w:rPr>
              <w:t>tobacco</w:t>
            </w:r>
            <w:r w:rsidRPr="00E72358">
              <w:rPr>
                <w:rFonts w:cs="Times New Roman"/>
                <w:i/>
                <w:color w:val="000000" w:themeColor="text1"/>
                <w:sz w:val="22"/>
              </w:rPr>
              <w:t xml:space="preserve"> advertisement)</w:t>
            </w:r>
          </w:p>
        </w:tc>
        <w:tc>
          <w:tcPr>
            <w:tcW w:w="608" w:type="pct"/>
            <w:vAlign w:val="center"/>
          </w:tcPr>
          <w:p w14:paraId="457C8419"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7310</w:t>
            </w:r>
          </w:p>
        </w:tc>
        <w:tc>
          <w:tcPr>
            <w:tcW w:w="710" w:type="pct"/>
            <w:vAlign w:val="center"/>
          </w:tcPr>
          <w:p w14:paraId="54E4994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3D320E5A" w14:textId="3B7AB232" w:rsidTr="006608EA">
        <w:trPr>
          <w:trHeight w:val="79"/>
        </w:trPr>
        <w:tc>
          <w:tcPr>
            <w:tcW w:w="1588" w:type="pct"/>
            <w:vAlign w:val="center"/>
          </w:tcPr>
          <w:p w14:paraId="0CC7AE22"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Insurance agent and broker activity</w:t>
            </w:r>
          </w:p>
          <w:p w14:paraId="63700DAA"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Insurance agent activity</w:t>
            </w:r>
          </w:p>
        </w:tc>
        <w:tc>
          <w:tcPr>
            <w:tcW w:w="574" w:type="pct"/>
            <w:vAlign w:val="center"/>
          </w:tcPr>
          <w:p w14:paraId="5CC91F41"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6622</w:t>
            </w:r>
          </w:p>
        </w:tc>
        <w:tc>
          <w:tcPr>
            <w:tcW w:w="1520" w:type="pct"/>
            <w:vAlign w:val="center"/>
          </w:tcPr>
          <w:p w14:paraId="2AC0DB0E"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Insurance agent and broker activity</w:t>
            </w:r>
          </w:p>
          <w:p w14:paraId="43A064C7"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Details: Insurance agent activity</w:t>
            </w:r>
          </w:p>
        </w:tc>
        <w:tc>
          <w:tcPr>
            <w:tcW w:w="608" w:type="pct"/>
            <w:vAlign w:val="center"/>
          </w:tcPr>
          <w:p w14:paraId="7B470513"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6622</w:t>
            </w:r>
          </w:p>
        </w:tc>
        <w:tc>
          <w:tcPr>
            <w:tcW w:w="710" w:type="pct"/>
            <w:vAlign w:val="center"/>
          </w:tcPr>
          <w:p w14:paraId="6E9AA17C"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1A5F3E1D" w14:textId="16075FA6" w:rsidTr="006608EA">
        <w:trPr>
          <w:trHeight w:val="79"/>
        </w:trPr>
        <w:tc>
          <w:tcPr>
            <w:tcW w:w="1588" w:type="pct"/>
            <w:vAlign w:val="center"/>
          </w:tcPr>
          <w:p w14:paraId="445D79B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Lottery, betting and gambling activity</w:t>
            </w:r>
          </w:p>
          <w:p w14:paraId="51137EAE"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Lottery agent activity</w:t>
            </w:r>
          </w:p>
        </w:tc>
        <w:tc>
          <w:tcPr>
            <w:tcW w:w="574" w:type="pct"/>
            <w:vAlign w:val="center"/>
          </w:tcPr>
          <w:p w14:paraId="73EFB632"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9200</w:t>
            </w:r>
          </w:p>
        </w:tc>
        <w:tc>
          <w:tcPr>
            <w:tcW w:w="1520" w:type="pct"/>
            <w:vAlign w:val="center"/>
          </w:tcPr>
          <w:p w14:paraId="4E2D85F6"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Lottery, betting and gambling activity</w:t>
            </w:r>
          </w:p>
          <w:p w14:paraId="43791A7D"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Lottery agent activity</w:t>
            </w:r>
          </w:p>
        </w:tc>
        <w:tc>
          <w:tcPr>
            <w:tcW w:w="608" w:type="pct"/>
            <w:vAlign w:val="center"/>
          </w:tcPr>
          <w:p w14:paraId="17FA0B5F"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9200</w:t>
            </w:r>
          </w:p>
        </w:tc>
        <w:tc>
          <w:tcPr>
            <w:tcW w:w="710" w:type="pct"/>
            <w:vAlign w:val="center"/>
          </w:tcPr>
          <w:p w14:paraId="6E930CCE"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011FE33F" w14:textId="2E56E3D9" w:rsidTr="006608EA">
        <w:trPr>
          <w:trHeight w:val="79"/>
        </w:trPr>
        <w:tc>
          <w:tcPr>
            <w:tcW w:w="1588" w:type="pct"/>
            <w:vAlign w:val="center"/>
          </w:tcPr>
          <w:p w14:paraId="52DE9B00" w14:textId="7AD2F3D9" w:rsidR="006608EA" w:rsidRPr="00E72358" w:rsidRDefault="00410CB1"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Refined petroleum p</w:t>
            </w:r>
            <w:r w:rsidR="006608EA" w:rsidRPr="00E72358">
              <w:rPr>
                <w:rFonts w:cs="Times New Roman"/>
                <w:color w:val="000000" w:themeColor="text1"/>
                <w:sz w:val="22"/>
              </w:rPr>
              <w:t>roduction</w:t>
            </w:r>
          </w:p>
          <w:p w14:paraId="40ED3F3E"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Production of petroleum, aviation petroleum, aviation fuel, SAF fuel and aviation fuel, dry gas products, LNG, CNG, LPG, Condensate, etc.… other energy.</w:t>
            </w:r>
          </w:p>
        </w:tc>
        <w:tc>
          <w:tcPr>
            <w:tcW w:w="574" w:type="pct"/>
            <w:vAlign w:val="center"/>
          </w:tcPr>
          <w:p w14:paraId="68A00B1B"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1920</w:t>
            </w:r>
          </w:p>
        </w:tc>
        <w:tc>
          <w:tcPr>
            <w:tcW w:w="1520" w:type="pct"/>
            <w:vAlign w:val="center"/>
          </w:tcPr>
          <w:p w14:paraId="5ED705FD" w14:textId="06E21B19" w:rsidR="006608EA" w:rsidRPr="00E72358" w:rsidRDefault="006608EA" w:rsidP="004A5F3B">
            <w:pPr>
              <w:widowControl w:val="0"/>
              <w:adjustRightInd w:val="0"/>
              <w:snapToGrid w:val="0"/>
              <w:spacing w:line="276" w:lineRule="auto"/>
              <w:jc w:val="both"/>
              <w:rPr>
                <w:rFonts w:cs="Times New Roman"/>
                <w:color w:val="000000" w:themeColor="text1"/>
                <w:sz w:val="22"/>
              </w:rPr>
            </w:pPr>
          </w:p>
          <w:p w14:paraId="7A0DAC6C"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Details: Production of petroleum, aviation petroleum, aviation fuel, SAF fuel and aviation fuel, dry gas products, LNG, CNG, LPG, Condensate, etc.… other energy.</w:t>
            </w:r>
          </w:p>
        </w:tc>
        <w:tc>
          <w:tcPr>
            <w:tcW w:w="608" w:type="pct"/>
            <w:vAlign w:val="center"/>
          </w:tcPr>
          <w:p w14:paraId="799CB28D"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1920</w:t>
            </w:r>
          </w:p>
        </w:tc>
        <w:tc>
          <w:tcPr>
            <w:tcW w:w="710" w:type="pct"/>
            <w:vAlign w:val="center"/>
          </w:tcPr>
          <w:p w14:paraId="0B7ACD3A"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517270D2" w14:textId="46D3CB34" w:rsidTr="006608EA">
        <w:trPr>
          <w:trHeight w:val="79"/>
        </w:trPr>
        <w:tc>
          <w:tcPr>
            <w:tcW w:w="1588" w:type="pct"/>
            <w:vAlign w:val="center"/>
          </w:tcPr>
          <w:p w14:paraId="3F5D8BB4"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General wholesales</w:t>
            </w:r>
          </w:p>
          <w:p w14:paraId="02C54B7E"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Details: Wholesales of materials, chemicals, raw materials, plants and equipment to serve for production and processing of petroleum, fuel for airlines, gas products and other energy products, etc.</w:t>
            </w:r>
          </w:p>
        </w:tc>
        <w:tc>
          <w:tcPr>
            <w:tcW w:w="574" w:type="pct"/>
            <w:vAlign w:val="center"/>
          </w:tcPr>
          <w:p w14:paraId="65EDCA35"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4690</w:t>
            </w:r>
          </w:p>
        </w:tc>
        <w:tc>
          <w:tcPr>
            <w:tcW w:w="1520" w:type="pct"/>
            <w:vAlign w:val="center"/>
          </w:tcPr>
          <w:p w14:paraId="6E733E40"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General wholesales</w:t>
            </w:r>
          </w:p>
          <w:p w14:paraId="56281CC7"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Details: Wholesales of materials, chemicals, raw materials, plants and equipment to serve for production and processing of petroleum, fuel for airlines, gas products and other energy products, etc.</w:t>
            </w:r>
          </w:p>
        </w:tc>
        <w:tc>
          <w:tcPr>
            <w:tcW w:w="608" w:type="pct"/>
            <w:vAlign w:val="center"/>
          </w:tcPr>
          <w:p w14:paraId="5BE4DE20"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4690</w:t>
            </w:r>
          </w:p>
        </w:tc>
        <w:tc>
          <w:tcPr>
            <w:tcW w:w="710" w:type="pct"/>
            <w:vAlign w:val="center"/>
          </w:tcPr>
          <w:p w14:paraId="762A57AD"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7693749D" w14:textId="0707975D" w:rsidTr="006608EA">
        <w:trPr>
          <w:trHeight w:val="79"/>
        </w:trPr>
        <w:tc>
          <w:tcPr>
            <w:tcW w:w="1588" w:type="pct"/>
            <w:vAlign w:val="center"/>
          </w:tcPr>
          <w:p w14:paraId="2E5F1490"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Trade introduction and promotion</w:t>
            </w:r>
          </w:p>
        </w:tc>
        <w:tc>
          <w:tcPr>
            <w:tcW w:w="574" w:type="pct"/>
            <w:vAlign w:val="center"/>
          </w:tcPr>
          <w:p w14:paraId="10A49DD9"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8230</w:t>
            </w:r>
          </w:p>
        </w:tc>
        <w:tc>
          <w:tcPr>
            <w:tcW w:w="1520" w:type="pct"/>
            <w:vAlign w:val="center"/>
          </w:tcPr>
          <w:p w14:paraId="164856E4"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Trade introduction and promotion</w:t>
            </w:r>
          </w:p>
        </w:tc>
        <w:tc>
          <w:tcPr>
            <w:tcW w:w="608" w:type="pct"/>
            <w:vAlign w:val="center"/>
          </w:tcPr>
          <w:p w14:paraId="703A201F"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8230</w:t>
            </w:r>
          </w:p>
        </w:tc>
        <w:tc>
          <w:tcPr>
            <w:tcW w:w="710" w:type="pct"/>
            <w:vAlign w:val="center"/>
          </w:tcPr>
          <w:p w14:paraId="00EF476B"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25F15805" w14:textId="3B37A5A8" w:rsidTr="006608EA">
        <w:trPr>
          <w:trHeight w:val="79"/>
        </w:trPr>
        <w:tc>
          <w:tcPr>
            <w:tcW w:w="1588" w:type="pct"/>
            <w:vAlign w:val="center"/>
          </w:tcPr>
          <w:p w14:paraId="11ED9357"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Operation of registered office</w:t>
            </w:r>
          </w:p>
        </w:tc>
        <w:tc>
          <w:tcPr>
            <w:tcW w:w="574" w:type="pct"/>
            <w:vAlign w:val="center"/>
          </w:tcPr>
          <w:p w14:paraId="623A29A0"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7010</w:t>
            </w:r>
          </w:p>
        </w:tc>
        <w:tc>
          <w:tcPr>
            <w:tcW w:w="1520" w:type="pct"/>
            <w:vAlign w:val="center"/>
          </w:tcPr>
          <w:p w14:paraId="6C5BC1BA"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Operation of registered office</w:t>
            </w:r>
          </w:p>
        </w:tc>
        <w:tc>
          <w:tcPr>
            <w:tcW w:w="608" w:type="pct"/>
            <w:vAlign w:val="center"/>
          </w:tcPr>
          <w:p w14:paraId="1723FE46"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7010</w:t>
            </w:r>
          </w:p>
        </w:tc>
        <w:tc>
          <w:tcPr>
            <w:tcW w:w="710" w:type="pct"/>
            <w:vAlign w:val="center"/>
          </w:tcPr>
          <w:p w14:paraId="5ADE8717"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66212D91" w14:textId="046E02D5" w:rsidTr="006608EA">
        <w:trPr>
          <w:trHeight w:val="79"/>
        </w:trPr>
        <w:tc>
          <w:tcPr>
            <w:tcW w:w="1588" w:type="pct"/>
            <w:vAlign w:val="center"/>
          </w:tcPr>
          <w:p w14:paraId="36CA896A"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Lease of non-financial intangible assets</w:t>
            </w:r>
          </w:p>
        </w:tc>
        <w:tc>
          <w:tcPr>
            <w:tcW w:w="574" w:type="pct"/>
            <w:vAlign w:val="center"/>
          </w:tcPr>
          <w:p w14:paraId="130679EF"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7740</w:t>
            </w:r>
          </w:p>
        </w:tc>
        <w:tc>
          <w:tcPr>
            <w:tcW w:w="1520" w:type="pct"/>
            <w:vAlign w:val="center"/>
          </w:tcPr>
          <w:p w14:paraId="7A8071CE"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Lease of non-financial intangible assets</w:t>
            </w:r>
          </w:p>
        </w:tc>
        <w:tc>
          <w:tcPr>
            <w:tcW w:w="608" w:type="pct"/>
            <w:vAlign w:val="center"/>
          </w:tcPr>
          <w:p w14:paraId="2C9ADD94"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7740</w:t>
            </w:r>
          </w:p>
        </w:tc>
        <w:tc>
          <w:tcPr>
            <w:tcW w:w="710" w:type="pct"/>
            <w:vAlign w:val="center"/>
          </w:tcPr>
          <w:p w14:paraId="4C33466A"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747A7E" w:rsidRPr="00E72358" w14:paraId="3031C194" w14:textId="209AF1DA" w:rsidTr="006608EA">
        <w:trPr>
          <w:trHeight w:val="79"/>
        </w:trPr>
        <w:tc>
          <w:tcPr>
            <w:tcW w:w="1588" w:type="pct"/>
            <w:vAlign w:val="center"/>
          </w:tcPr>
          <w:p w14:paraId="21DE0472"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color w:val="000000" w:themeColor="text1"/>
                <w:sz w:val="22"/>
              </w:rPr>
              <w:t>Wastewater drainage and treatment</w:t>
            </w:r>
          </w:p>
        </w:tc>
        <w:tc>
          <w:tcPr>
            <w:tcW w:w="574" w:type="pct"/>
            <w:vAlign w:val="center"/>
          </w:tcPr>
          <w:p w14:paraId="5D5D4B0D"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3700</w:t>
            </w:r>
          </w:p>
        </w:tc>
        <w:tc>
          <w:tcPr>
            <w:tcW w:w="1520" w:type="pct"/>
            <w:vAlign w:val="center"/>
          </w:tcPr>
          <w:p w14:paraId="5F15100E"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Water drainage and wastewater treatment</w:t>
            </w:r>
          </w:p>
        </w:tc>
        <w:tc>
          <w:tcPr>
            <w:tcW w:w="608" w:type="pct"/>
            <w:vAlign w:val="center"/>
          </w:tcPr>
          <w:p w14:paraId="4615DD3A"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3700</w:t>
            </w:r>
          </w:p>
        </w:tc>
        <w:tc>
          <w:tcPr>
            <w:tcW w:w="710" w:type="pct"/>
            <w:vAlign w:val="center"/>
          </w:tcPr>
          <w:p w14:paraId="4FD4C260" w14:textId="7CDDB2F1"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Change the sector name accordance with the Decision No. 36.</w:t>
            </w:r>
          </w:p>
        </w:tc>
      </w:tr>
      <w:tr w:rsidR="00747A7E" w:rsidRPr="00E72358" w14:paraId="3B82C403" w14:textId="181A96B3" w:rsidTr="006608EA">
        <w:tc>
          <w:tcPr>
            <w:tcW w:w="1588" w:type="pct"/>
            <w:vAlign w:val="center"/>
          </w:tcPr>
          <w:p w14:paraId="7FDC2966"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Installation of other construction systems</w:t>
            </w:r>
          </w:p>
          <w:p w14:paraId="3C2D17B4"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xml:space="preserve">Details: Installation and repair of electric </w:t>
            </w:r>
            <w:r w:rsidRPr="00E72358">
              <w:rPr>
                <w:rFonts w:cs="Times New Roman"/>
                <w:i/>
                <w:color w:val="000000" w:themeColor="text1"/>
                <w:sz w:val="22"/>
              </w:rPr>
              <w:lastRenderedPageBreak/>
              <w:t>equipment systems, transformer substations, charging and electric charging pillar station systems</w:t>
            </w:r>
          </w:p>
        </w:tc>
        <w:tc>
          <w:tcPr>
            <w:tcW w:w="574" w:type="pct"/>
            <w:vAlign w:val="center"/>
          </w:tcPr>
          <w:p w14:paraId="28F332BA"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lastRenderedPageBreak/>
              <w:t>4329</w:t>
            </w:r>
          </w:p>
        </w:tc>
        <w:tc>
          <w:tcPr>
            <w:tcW w:w="1520" w:type="pct"/>
            <w:vAlign w:val="center"/>
          </w:tcPr>
          <w:p w14:paraId="14EDD759"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Installation of other construction systems</w:t>
            </w:r>
          </w:p>
          <w:p w14:paraId="036B39A4"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i/>
                <w:color w:val="000000" w:themeColor="text1"/>
                <w:sz w:val="22"/>
              </w:rPr>
              <w:t xml:space="preserve">Details: Installation and repair of electric </w:t>
            </w:r>
            <w:r w:rsidRPr="00E72358">
              <w:rPr>
                <w:rFonts w:cs="Times New Roman"/>
                <w:i/>
                <w:color w:val="000000" w:themeColor="text1"/>
                <w:sz w:val="22"/>
              </w:rPr>
              <w:lastRenderedPageBreak/>
              <w:t>equipment systems, transformer substations, charging and electric charging pillar station systems</w:t>
            </w:r>
          </w:p>
        </w:tc>
        <w:tc>
          <w:tcPr>
            <w:tcW w:w="608" w:type="pct"/>
            <w:vAlign w:val="center"/>
          </w:tcPr>
          <w:p w14:paraId="438F06EB" w14:textId="77777777" w:rsidR="006608EA" w:rsidRPr="00E72358" w:rsidRDefault="006608EA"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lastRenderedPageBreak/>
              <w:t>4329</w:t>
            </w:r>
          </w:p>
        </w:tc>
        <w:tc>
          <w:tcPr>
            <w:tcW w:w="710" w:type="pct"/>
            <w:vAlign w:val="center"/>
          </w:tcPr>
          <w:p w14:paraId="61094401"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t>Unchanged</w:t>
            </w:r>
          </w:p>
        </w:tc>
      </w:tr>
      <w:tr w:rsidR="006608EA" w:rsidRPr="00E72358" w14:paraId="5D308872" w14:textId="6ED1A3E3" w:rsidTr="006608EA">
        <w:tc>
          <w:tcPr>
            <w:tcW w:w="1588" w:type="pct"/>
            <w:vAlign w:val="center"/>
          </w:tcPr>
          <w:p w14:paraId="22A68547" w14:textId="77777777" w:rsidR="006608EA" w:rsidRPr="00E72358" w:rsidRDefault="006608EA" w:rsidP="004A5F3B">
            <w:pPr>
              <w:widowControl w:val="0"/>
              <w:adjustRightInd w:val="0"/>
              <w:snapToGrid w:val="0"/>
              <w:spacing w:line="276" w:lineRule="auto"/>
              <w:jc w:val="both"/>
              <w:rPr>
                <w:rFonts w:cs="Times New Roman"/>
                <w:color w:val="000000" w:themeColor="text1"/>
                <w:sz w:val="22"/>
              </w:rPr>
            </w:pPr>
            <w:r w:rsidRPr="00E72358">
              <w:rPr>
                <w:rFonts w:cs="Times New Roman"/>
                <w:color w:val="000000" w:themeColor="text1"/>
                <w:sz w:val="22"/>
              </w:rPr>
              <w:lastRenderedPageBreak/>
              <w:t>Retails on post office or Internet-based demand</w:t>
            </w:r>
          </w:p>
          <w:p w14:paraId="6953B4A1"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Details:</w:t>
            </w:r>
          </w:p>
          <w:p w14:paraId="4B457B66" w14:textId="77777777" w:rsidR="006608EA" w:rsidRPr="00E72358" w:rsidRDefault="006608EA" w:rsidP="004A5F3B">
            <w:pPr>
              <w:widowControl w:val="0"/>
              <w:adjustRightInd w:val="0"/>
              <w:snapToGrid w:val="0"/>
              <w:spacing w:line="276" w:lineRule="auto"/>
              <w:jc w:val="both"/>
              <w:rPr>
                <w:rFonts w:cs="Times New Roman"/>
                <w:i/>
                <w:color w:val="000000" w:themeColor="text1"/>
                <w:sz w:val="22"/>
              </w:rPr>
            </w:pPr>
            <w:r w:rsidRPr="00E72358">
              <w:rPr>
                <w:rFonts w:cs="Times New Roman"/>
                <w:i/>
                <w:color w:val="000000" w:themeColor="text1"/>
                <w:sz w:val="22"/>
              </w:rPr>
              <w:t>- E-commerce exchange service</w:t>
            </w:r>
          </w:p>
          <w:p w14:paraId="439BDC02" w14:textId="77777777" w:rsidR="006608EA" w:rsidRPr="00E72358" w:rsidRDefault="006608EA" w:rsidP="004A5F3B">
            <w:pPr>
              <w:widowControl w:val="0"/>
              <w:adjustRightInd w:val="0"/>
              <w:snapToGrid w:val="0"/>
              <w:spacing w:line="276" w:lineRule="auto"/>
              <w:jc w:val="both"/>
              <w:rPr>
                <w:rFonts w:cs="Times New Roman"/>
                <w:b/>
                <w:color w:val="000000" w:themeColor="text1"/>
                <w:sz w:val="22"/>
              </w:rPr>
            </w:pPr>
            <w:r w:rsidRPr="00E72358">
              <w:rPr>
                <w:rFonts w:cs="Times New Roman"/>
                <w:i/>
                <w:color w:val="000000" w:themeColor="text1"/>
                <w:sz w:val="22"/>
              </w:rPr>
              <w:t>- Digital platform-based business; order placement and delivery of goods via postal or courier services</w:t>
            </w:r>
          </w:p>
        </w:tc>
        <w:tc>
          <w:tcPr>
            <w:tcW w:w="574" w:type="pct"/>
            <w:vAlign w:val="center"/>
          </w:tcPr>
          <w:p w14:paraId="4D541E67" w14:textId="77777777" w:rsidR="006608EA" w:rsidRPr="00E72358" w:rsidRDefault="006608EA" w:rsidP="004A5F3B">
            <w:pPr>
              <w:widowControl w:val="0"/>
              <w:adjustRightInd w:val="0"/>
              <w:snapToGrid w:val="0"/>
              <w:spacing w:line="276" w:lineRule="auto"/>
              <w:jc w:val="center"/>
              <w:rPr>
                <w:rFonts w:cs="Times New Roman"/>
                <w:b/>
                <w:color w:val="000000" w:themeColor="text1"/>
                <w:sz w:val="22"/>
              </w:rPr>
            </w:pPr>
            <w:r w:rsidRPr="00E72358">
              <w:rPr>
                <w:rFonts w:cs="Times New Roman"/>
                <w:color w:val="000000" w:themeColor="text1"/>
                <w:sz w:val="22"/>
              </w:rPr>
              <w:t>4791</w:t>
            </w:r>
          </w:p>
        </w:tc>
        <w:tc>
          <w:tcPr>
            <w:tcW w:w="2838" w:type="pct"/>
            <w:gridSpan w:val="3"/>
            <w:vAlign w:val="center"/>
          </w:tcPr>
          <w:p w14:paraId="2F1F41EA" w14:textId="194D898E" w:rsidR="006608EA" w:rsidRPr="00E72358" w:rsidRDefault="00D43D52" w:rsidP="004A5F3B">
            <w:pPr>
              <w:widowControl w:val="0"/>
              <w:adjustRightInd w:val="0"/>
              <w:snapToGrid w:val="0"/>
              <w:spacing w:line="276" w:lineRule="auto"/>
              <w:jc w:val="center"/>
              <w:rPr>
                <w:rFonts w:cs="Times New Roman"/>
                <w:color w:val="000000" w:themeColor="text1"/>
                <w:sz w:val="22"/>
              </w:rPr>
            </w:pPr>
            <w:r w:rsidRPr="00E72358">
              <w:rPr>
                <w:rFonts w:cs="Times New Roman"/>
                <w:color w:val="000000" w:themeColor="text1"/>
                <w:sz w:val="22"/>
              </w:rPr>
              <w:t xml:space="preserve">Removed, as it is not specified by the Decision No. 36; Retails conducted via mail order or the Internet </w:t>
            </w:r>
            <w:r w:rsidR="00BC6510" w:rsidRPr="00E72358">
              <w:rPr>
                <w:rFonts w:cs="Times New Roman"/>
                <w:color w:val="000000" w:themeColor="text1"/>
                <w:sz w:val="22"/>
              </w:rPr>
              <w:t>is</w:t>
            </w:r>
            <w:r w:rsidRPr="00E72358">
              <w:rPr>
                <w:rFonts w:cs="Times New Roman"/>
                <w:color w:val="000000" w:themeColor="text1"/>
                <w:sz w:val="22"/>
              </w:rPr>
              <w:t xml:space="preserve"> classified based on the type of goods sold. Retail classification is based on the goods sold, rather than the sales method (in-store, online, at counters, or at markets)</w:t>
            </w:r>
          </w:p>
        </w:tc>
      </w:tr>
    </w:tbl>
    <w:p w14:paraId="29EF6079" w14:textId="77777777" w:rsidR="002E038D" w:rsidRPr="00E72358" w:rsidRDefault="002E038D" w:rsidP="004A5F3B">
      <w:pPr>
        <w:widowControl w:val="0"/>
        <w:adjustRightInd w:val="0"/>
        <w:snapToGrid w:val="0"/>
        <w:spacing w:after="0"/>
        <w:rPr>
          <w:rFonts w:cs="Times New Roman"/>
          <w:b/>
          <w:color w:val="000000" w:themeColor="text1"/>
          <w:sz w:val="22"/>
        </w:rPr>
      </w:pPr>
    </w:p>
    <w:p w14:paraId="14E388F7" w14:textId="7AB54F66" w:rsidR="00FD46C7" w:rsidRPr="00E72358" w:rsidRDefault="00FD46C7" w:rsidP="00311296">
      <w:pPr>
        <w:rPr>
          <w:rFonts w:cs="Times New Roman"/>
          <w:b/>
          <w:color w:val="000000" w:themeColor="text1"/>
          <w:sz w:val="22"/>
        </w:rPr>
      </w:pPr>
    </w:p>
    <w:sectPr w:rsidR="00FD46C7" w:rsidRPr="00E72358" w:rsidSect="00480F33">
      <w:headerReference w:type="default" r:id="rId13"/>
      <w:pgSz w:w="15840" w:h="12240" w:orient="landscape" w:code="1"/>
      <w:pgMar w:top="1134"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80EAA" w15:done="0"/>
  <w15:commentEx w15:paraId="24E5E0D2" w15:done="0"/>
  <w15:commentEx w15:paraId="77388C84" w15:done="0"/>
  <w15:commentEx w15:paraId="722CD996" w15:done="0"/>
  <w15:commentEx w15:paraId="41E33B87" w15:done="0"/>
  <w15:commentEx w15:paraId="57E02AFD" w15:done="0"/>
  <w15:commentEx w15:paraId="293CBB80" w15:done="0"/>
  <w15:commentEx w15:paraId="79890B27" w15:done="0"/>
  <w15:commentEx w15:paraId="65BFCA04" w15:done="0"/>
  <w15:commentEx w15:paraId="4964C7BB" w15:done="0"/>
  <w15:commentEx w15:paraId="6950B10F" w15:done="0"/>
  <w15:commentEx w15:paraId="39FF0046" w15:done="0"/>
  <w15:commentEx w15:paraId="1F4FFABE" w15:done="0"/>
  <w15:commentEx w15:paraId="5D4E32F5" w15:done="0"/>
  <w15:commentEx w15:paraId="2E9AEA23" w15:done="0"/>
  <w15:commentEx w15:paraId="73533A92" w15:done="0"/>
  <w15:commentEx w15:paraId="60AE39E8" w15:done="0"/>
  <w15:commentEx w15:paraId="421EB23A" w15:done="0"/>
  <w15:commentEx w15:paraId="0C086606" w15:done="0"/>
  <w15:commentEx w15:paraId="0893CD83" w15:done="0"/>
  <w15:commentEx w15:paraId="0800E39C" w15:done="0"/>
  <w15:commentEx w15:paraId="0DA9358E" w15:done="0"/>
  <w15:commentEx w15:paraId="6A0D8158" w15:done="0"/>
  <w15:commentEx w15:paraId="44AFB9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49CC4C" w16cex:dateUtc="2026-04-02T06:41:00Z"/>
  <w16cex:commentExtensible w16cex:durableId="3323CD9E" w16cex:dateUtc="2026-04-02T06:47:00Z"/>
  <w16cex:commentExtensible w16cex:durableId="185A30DC" w16cex:dateUtc="2026-04-02T06:45:00Z"/>
  <w16cex:commentExtensible w16cex:durableId="19B1E8BA" w16cex:dateUtc="2026-04-02T06:48:00Z"/>
  <w16cex:commentExtensible w16cex:durableId="0D8FA63D" w16cex:dateUtc="2026-04-02T06:50:00Z"/>
  <w16cex:commentExtensible w16cex:durableId="74435F91" w16cex:dateUtc="2026-04-02T06:50:00Z"/>
  <w16cex:commentExtensible w16cex:durableId="459B0A60" w16cex:dateUtc="2026-04-02T06:52:00Z"/>
  <w16cex:commentExtensible w16cex:durableId="748EE90B" w16cex:dateUtc="2026-04-02T06:53:00Z"/>
  <w16cex:commentExtensible w16cex:durableId="4A9CB280" w16cex:dateUtc="2026-04-02T06:55:00Z"/>
  <w16cex:commentExtensible w16cex:durableId="3FBA6285" w16cex:dateUtc="2026-04-02T06:54:00Z"/>
  <w16cex:commentExtensible w16cex:durableId="795B3251" w16cex:dateUtc="2026-04-02T06:57:00Z"/>
  <w16cex:commentExtensible w16cex:durableId="62623432" w16cex:dateUtc="2026-04-02T06:58:00Z"/>
  <w16cex:commentExtensible w16cex:durableId="6B99D1E0" w16cex:dateUtc="2026-04-02T06:59:00Z"/>
  <w16cex:commentExtensible w16cex:durableId="443FD74E" w16cex:dateUtc="2026-04-02T07:00:00Z"/>
  <w16cex:commentExtensible w16cex:durableId="56895208" w16cex:dateUtc="2026-04-02T07:01:00Z"/>
  <w16cex:commentExtensible w16cex:durableId="00CB5882" w16cex:dateUtc="2026-04-02T07:02:00Z"/>
  <w16cex:commentExtensible w16cex:durableId="48417C50" w16cex:dateUtc="2026-04-02T07:03:00Z"/>
  <w16cex:commentExtensible w16cex:durableId="0E85423F" w16cex:dateUtc="2026-04-02T06:42:00Z"/>
  <w16cex:commentExtensible w16cex:durableId="64E9559B" w16cex:dateUtc="2026-04-02T07:04:00Z"/>
  <w16cex:commentExtensible w16cex:durableId="05A127B3" w16cex:dateUtc="2026-04-02T07:06:00Z"/>
  <w16cex:commentExtensible w16cex:durableId="5D48B2E7" w16cex:dateUtc="2026-04-02T07:07:00Z"/>
  <w16cex:commentExtensible w16cex:durableId="6363019C" w16cex:dateUtc="2026-04-02T07:07:00Z"/>
  <w16cex:commentExtensible w16cex:durableId="3503A009" w16cex:dateUtc="2026-04-02T07:08:00Z"/>
  <w16cex:commentExtensible w16cex:durableId="3CEAC446" w16cex:dateUtc="2026-04-02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80EAA" w16cid:durableId="3049CC4C"/>
  <w16cid:commentId w16cid:paraId="24E5E0D2" w16cid:durableId="3323CD9E"/>
  <w16cid:commentId w16cid:paraId="77388C84" w16cid:durableId="185A30DC"/>
  <w16cid:commentId w16cid:paraId="722CD996" w16cid:durableId="19B1E8BA"/>
  <w16cid:commentId w16cid:paraId="41E33B87" w16cid:durableId="0D8FA63D"/>
  <w16cid:commentId w16cid:paraId="57E02AFD" w16cid:durableId="74435F91"/>
  <w16cid:commentId w16cid:paraId="293CBB80" w16cid:durableId="459B0A60"/>
  <w16cid:commentId w16cid:paraId="79890B27" w16cid:durableId="748EE90B"/>
  <w16cid:commentId w16cid:paraId="65BFCA04" w16cid:durableId="4A9CB280"/>
  <w16cid:commentId w16cid:paraId="4964C7BB" w16cid:durableId="3FBA6285"/>
  <w16cid:commentId w16cid:paraId="6950B10F" w16cid:durableId="795B3251"/>
  <w16cid:commentId w16cid:paraId="39FF0046" w16cid:durableId="62623432"/>
  <w16cid:commentId w16cid:paraId="1F4FFABE" w16cid:durableId="6B99D1E0"/>
  <w16cid:commentId w16cid:paraId="5D4E32F5" w16cid:durableId="443FD74E"/>
  <w16cid:commentId w16cid:paraId="2E9AEA23" w16cid:durableId="56895208"/>
  <w16cid:commentId w16cid:paraId="73533A92" w16cid:durableId="00CB5882"/>
  <w16cid:commentId w16cid:paraId="60AE39E8" w16cid:durableId="48417C50"/>
  <w16cid:commentId w16cid:paraId="421EB23A" w16cid:durableId="0E85423F"/>
  <w16cid:commentId w16cid:paraId="0C086606" w16cid:durableId="64E9559B"/>
  <w16cid:commentId w16cid:paraId="0893CD83" w16cid:durableId="05A127B3"/>
  <w16cid:commentId w16cid:paraId="0800E39C" w16cid:durableId="5D48B2E7"/>
  <w16cid:commentId w16cid:paraId="0DA9358E" w16cid:durableId="6363019C"/>
  <w16cid:commentId w16cid:paraId="6A0D8158" w16cid:durableId="3503A009"/>
  <w16cid:commentId w16cid:paraId="44AFB938" w16cid:durableId="3CEAC4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33EF" w14:textId="77777777" w:rsidR="005F28E3" w:rsidRDefault="005F28E3" w:rsidP="00D765FD">
      <w:pPr>
        <w:spacing w:after="0" w:line="240" w:lineRule="auto"/>
      </w:pPr>
      <w:r>
        <w:separator/>
      </w:r>
    </w:p>
  </w:endnote>
  <w:endnote w:type="continuationSeparator" w:id="0">
    <w:p w14:paraId="75B6A388" w14:textId="77777777" w:rsidR="005F28E3" w:rsidRDefault="005F28E3" w:rsidP="00D765FD">
      <w:pPr>
        <w:spacing w:after="0" w:line="240" w:lineRule="auto"/>
      </w:pPr>
      <w:r>
        <w:continuationSeparator/>
      </w:r>
    </w:p>
  </w:endnote>
  <w:endnote w:type="continuationNotice" w:id="1">
    <w:p w14:paraId="49A6D302" w14:textId="77777777" w:rsidR="005F28E3" w:rsidRDefault="005F2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VO">
    <w:altName w:val="Calibri"/>
    <w:charset w:val="00"/>
    <w:family w:val="auto"/>
    <w:pitch w:val="variable"/>
    <w:sig w:usb0="A000000F"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DC1CF" w14:textId="77777777" w:rsidR="005F28E3" w:rsidRDefault="005F28E3" w:rsidP="00D765FD">
      <w:pPr>
        <w:spacing w:after="0" w:line="240" w:lineRule="auto"/>
      </w:pPr>
      <w:r>
        <w:separator/>
      </w:r>
    </w:p>
  </w:footnote>
  <w:footnote w:type="continuationSeparator" w:id="0">
    <w:p w14:paraId="475627E9" w14:textId="77777777" w:rsidR="005F28E3" w:rsidRDefault="005F28E3" w:rsidP="00D765FD">
      <w:pPr>
        <w:spacing w:after="0" w:line="240" w:lineRule="auto"/>
      </w:pPr>
      <w:r>
        <w:continuationSeparator/>
      </w:r>
    </w:p>
  </w:footnote>
  <w:footnote w:type="continuationNotice" w:id="1">
    <w:p w14:paraId="47D6472B" w14:textId="77777777" w:rsidR="005F28E3" w:rsidRDefault="005F28E3">
      <w:pPr>
        <w:spacing w:after="0" w:line="240" w:lineRule="auto"/>
      </w:pPr>
    </w:p>
  </w:footnote>
  <w:footnote w:id="2">
    <w:p w14:paraId="5B9A0A6E" w14:textId="77777777" w:rsidR="005B042E" w:rsidRPr="009779CB" w:rsidRDefault="005B042E" w:rsidP="001A3A07">
      <w:pPr>
        <w:pStyle w:val="FootnoteText"/>
        <w:spacing w:before="60" w:after="60"/>
        <w:jc w:val="both"/>
        <w:rPr>
          <w:rFonts w:ascii="OptimaVO" w:hAnsi="OptimaVO"/>
        </w:rPr>
      </w:pPr>
      <w:r>
        <w:rPr>
          <w:rStyle w:val="FootnoteReference"/>
          <w:rFonts w:ascii="OptimaVO" w:eastAsiaTheme="majorEastAsia" w:hAnsi="OptimaVO"/>
        </w:rPr>
        <w:footnoteRef/>
      </w:r>
      <w:r>
        <w:t xml:space="preserve"> Section II.2 of the Resolution 79 specifies one of specific objectives is that up to 2030, “</w:t>
      </w:r>
      <w:r>
        <w:rPr>
          <w:i/>
          <w:iCs/>
        </w:rPr>
        <w:t>100% of State-owned enterprises implement modern, digital-based corporate governance</w:t>
      </w:r>
      <w:r>
        <w:t>”.</w:t>
      </w:r>
    </w:p>
  </w:footnote>
  <w:footnote w:id="3">
    <w:p w14:paraId="4EFA929D" w14:textId="77777777" w:rsidR="005B042E" w:rsidRPr="009779CB" w:rsidRDefault="005B042E" w:rsidP="00D55A9F">
      <w:pPr>
        <w:pStyle w:val="FootnoteText"/>
        <w:spacing w:before="60" w:after="60"/>
        <w:jc w:val="both"/>
        <w:rPr>
          <w:rFonts w:ascii="OptimaVO" w:hAnsi="OptimaVO"/>
        </w:rPr>
      </w:pPr>
      <w:r>
        <w:rPr>
          <w:rStyle w:val="FootnoteReference"/>
          <w:rFonts w:ascii="OptimaVO" w:eastAsiaTheme="majorEastAsia" w:hAnsi="OptimaVO"/>
        </w:rPr>
        <w:footnoteRef/>
      </w:r>
      <w:r>
        <w:t xml:space="preserve"> Section II.2 of the Resolution 79 specifies one of specific objectives is that up to 2030, “</w:t>
      </w:r>
      <w:r>
        <w:rPr>
          <w:i/>
          <w:iCs/>
        </w:rPr>
        <w:t>100% of State-owned enterprises implement modern, digital-based corporate governance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22287" w14:textId="77777777" w:rsidR="005B042E" w:rsidRDefault="005B0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552685"/>
    <w:multiLevelType w:val="hybridMultilevel"/>
    <w:tmpl w:val="F74E2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EF52C0"/>
    <w:multiLevelType w:val="hybridMultilevel"/>
    <w:tmpl w:val="C4F44174"/>
    <w:lvl w:ilvl="0" w:tplc="1B609E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EE0EED"/>
    <w:multiLevelType w:val="hybridMultilevel"/>
    <w:tmpl w:val="88DCDDF4"/>
    <w:lvl w:ilvl="0" w:tplc="AE36E4D6">
      <w:start w:val="2"/>
      <w:numFmt w:val="bullet"/>
      <w:lvlText w:val=""/>
      <w:lvlJc w:val="left"/>
      <w:pPr>
        <w:ind w:left="720" w:hanging="360"/>
      </w:pPr>
      <w:rPr>
        <w:rFonts w:ascii="Wingdings" w:eastAsia="Times New Roman" w:hAnsi="Wingdings" w:cs="Times New Roman" w:hint="default"/>
        <w:color w:val="EE000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D4086"/>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3">
    <w:nsid w:val="219D4B3D"/>
    <w:multiLevelType w:val="hybridMultilevel"/>
    <w:tmpl w:val="4CFE08C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41E24"/>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5">
    <w:nsid w:val="38375DD9"/>
    <w:multiLevelType w:val="hybridMultilevel"/>
    <w:tmpl w:val="16BA24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5521FB4"/>
    <w:multiLevelType w:val="hybridMultilevel"/>
    <w:tmpl w:val="FD16C062"/>
    <w:lvl w:ilvl="0" w:tplc="BF14179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F5404"/>
    <w:multiLevelType w:val="hybridMultilevel"/>
    <w:tmpl w:val="5B60C36A"/>
    <w:lvl w:ilvl="0" w:tplc="BF141798">
      <w:start w:val="1"/>
      <w:numFmt w:val="decimal"/>
      <w:lvlText w:val="%1."/>
      <w:lvlJc w:val="left"/>
      <w:pPr>
        <w:ind w:left="360" w:hanging="360"/>
      </w:pPr>
      <w:rPr>
        <w:rFonts w:hint="default"/>
        <w:b/>
      </w:rPr>
    </w:lvl>
    <w:lvl w:ilvl="1" w:tplc="3B8E496C">
      <w:start w:val="1"/>
      <w:numFmt w:val="bullet"/>
      <w:lvlText w:val="-"/>
      <w:lvlJc w:val="left"/>
      <w:pPr>
        <w:ind w:left="1080" w:hanging="360"/>
      </w:pPr>
      <w:rPr>
        <w:rFonts w:ascii="OptimaVO" w:eastAsia="Times New Roman" w:hAnsi="OptimaVO"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AA2348"/>
    <w:multiLevelType w:val="hybridMultilevel"/>
    <w:tmpl w:val="63F650F6"/>
    <w:lvl w:ilvl="0" w:tplc="6CAA3D38">
      <w:start w:val="1"/>
      <w:numFmt w:val="bullet"/>
      <w:lvlText w:val=""/>
      <w:lvlJc w:val="left"/>
      <w:pPr>
        <w:ind w:left="1080" w:hanging="360"/>
      </w:pPr>
      <w:rPr>
        <w:rFonts w:ascii="Symbol" w:hAnsi="Symbol"/>
      </w:rPr>
    </w:lvl>
    <w:lvl w:ilvl="1" w:tplc="DB0849DC">
      <w:start w:val="1"/>
      <w:numFmt w:val="bullet"/>
      <w:lvlText w:val=""/>
      <w:lvlJc w:val="left"/>
      <w:pPr>
        <w:ind w:left="1080" w:hanging="360"/>
      </w:pPr>
      <w:rPr>
        <w:rFonts w:ascii="Symbol" w:hAnsi="Symbol"/>
      </w:rPr>
    </w:lvl>
    <w:lvl w:ilvl="2" w:tplc="08B0B270">
      <w:start w:val="1"/>
      <w:numFmt w:val="bullet"/>
      <w:lvlText w:val=""/>
      <w:lvlJc w:val="left"/>
      <w:pPr>
        <w:ind w:left="1080" w:hanging="360"/>
      </w:pPr>
      <w:rPr>
        <w:rFonts w:ascii="Symbol" w:hAnsi="Symbol"/>
      </w:rPr>
    </w:lvl>
    <w:lvl w:ilvl="3" w:tplc="27043F6C">
      <w:start w:val="1"/>
      <w:numFmt w:val="bullet"/>
      <w:lvlText w:val=""/>
      <w:lvlJc w:val="left"/>
      <w:pPr>
        <w:ind w:left="1080" w:hanging="360"/>
      </w:pPr>
      <w:rPr>
        <w:rFonts w:ascii="Symbol" w:hAnsi="Symbol"/>
      </w:rPr>
    </w:lvl>
    <w:lvl w:ilvl="4" w:tplc="7AC2E3D2">
      <w:start w:val="1"/>
      <w:numFmt w:val="bullet"/>
      <w:lvlText w:val=""/>
      <w:lvlJc w:val="left"/>
      <w:pPr>
        <w:ind w:left="1080" w:hanging="360"/>
      </w:pPr>
      <w:rPr>
        <w:rFonts w:ascii="Symbol" w:hAnsi="Symbol"/>
      </w:rPr>
    </w:lvl>
    <w:lvl w:ilvl="5" w:tplc="A34E8C9C">
      <w:start w:val="1"/>
      <w:numFmt w:val="bullet"/>
      <w:lvlText w:val=""/>
      <w:lvlJc w:val="left"/>
      <w:pPr>
        <w:ind w:left="1080" w:hanging="360"/>
      </w:pPr>
      <w:rPr>
        <w:rFonts w:ascii="Symbol" w:hAnsi="Symbol"/>
      </w:rPr>
    </w:lvl>
    <w:lvl w:ilvl="6" w:tplc="D256B3DE">
      <w:start w:val="1"/>
      <w:numFmt w:val="bullet"/>
      <w:lvlText w:val=""/>
      <w:lvlJc w:val="left"/>
      <w:pPr>
        <w:ind w:left="1080" w:hanging="360"/>
      </w:pPr>
      <w:rPr>
        <w:rFonts w:ascii="Symbol" w:hAnsi="Symbol"/>
      </w:rPr>
    </w:lvl>
    <w:lvl w:ilvl="7" w:tplc="F8C8AE6E">
      <w:start w:val="1"/>
      <w:numFmt w:val="bullet"/>
      <w:lvlText w:val=""/>
      <w:lvlJc w:val="left"/>
      <w:pPr>
        <w:ind w:left="1080" w:hanging="360"/>
      </w:pPr>
      <w:rPr>
        <w:rFonts w:ascii="Symbol" w:hAnsi="Symbol"/>
      </w:rPr>
    </w:lvl>
    <w:lvl w:ilvl="8" w:tplc="2C6A6A5A">
      <w:start w:val="1"/>
      <w:numFmt w:val="bullet"/>
      <w:lvlText w:val=""/>
      <w:lvlJc w:val="left"/>
      <w:pPr>
        <w:ind w:left="1080" w:hanging="360"/>
      </w:pPr>
      <w:rPr>
        <w:rFonts w:ascii="Symbol" w:hAnsi="Symbol"/>
      </w:rPr>
    </w:lvl>
  </w:abstractNum>
  <w:abstractNum w:abstractNumId="19">
    <w:nsid w:val="50976E5E"/>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0">
    <w:nsid w:val="52124726"/>
    <w:multiLevelType w:val="hybridMultilevel"/>
    <w:tmpl w:val="3AE2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1A5F23"/>
    <w:multiLevelType w:val="hybridMultilevel"/>
    <w:tmpl w:val="1FA20DF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DC021E"/>
    <w:multiLevelType w:val="hybridMultilevel"/>
    <w:tmpl w:val="9B84C0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1246698"/>
    <w:multiLevelType w:val="hybridMultilevel"/>
    <w:tmpl w:val="2B12A418"/>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78C27C33"/>
    <w:multiLevelType w:val="hybridMultilevel"/>
    <w:tmpl w:val="E786A12E"/>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7A4E5A39"/>
    <w:multiLevelType w:val="hybridMultilevel"/>
    <w:tmpl w:val="E57C523E"/>
    <w:lvl w:ilvl="0" w:tplc="A02C5550">
      <w:start w:val="1"/>
      <w:numFmt w:val="upperRoman"/>
      <w:pStyle w:val="Heading1"/>
      <w:lvlText w:val="%1."/>
      <w:lvlJc w:val="left"/>
      <w:pPr>
        <w:ind w:left="360" w:hanging="360"/>
      </w:pPr>
      <w:rPr>
        <w:rFonts w:hint="default"/>
        <w:b/>
        <w:bCs/>
        <w:color w:val="8D0E3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8B51ED"/>
    <w:multiLevelType w:val="hybridMultilevel"/>
    <w:tmpl w:val="51CA2B5E"/>
    <w:lvl w:ilvl="0" w:tplc="08B0B418">
      <w:start w:val="1"/>
      <w:numFmt w:val="upperRoman"/>
      <w:pStyle w:val="Heading2"/>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1"/>
  </w:num>
  <w:num w:numId="12">
    <w:abstractNumId w:val="12"/>
  </w:num>
  <w:num w:numId="13">
    <w:abstractNumId w:val="25"/>
  </w:num>
  <w:num w:numId="14">
    <w:abstractNumId w:val="21"/>
  </w:num>
  <w:num w:numId="15">
    <w:abstractNumId w:val="17"/>
  </w:num>
  <w:num w:numId="16">
    <w:abstractNumId w:val="10"/>
  </w:num>
  <w:num w:numId="17">
    <w:abstractNumId w:val="16"/>
  </w:num>
  <w:num w:numId="18">
    <w:abstractNumId w:val="26"/>
  </w:num>
  <w:num w:numId="19">
    <w:abstractNumId w:val="22"/>
  </w:num>
  <w:num w:numId="20">
    <w:abstractNumId w:val="23"/>
  </w:num>
  <w:num w:numId="21">
    <w:abstractNumId w:val="15"/>
  </w:num>
  <w:num w:numId="22">
    <w:abstractNumId w:val="24"/>
  </w:num>
  <w:num w:numId="23">
    <w:abstractNumId w:val="20"/>
  </w:num>
  <w:num w:numId="24">
    <w:abstractNumId w:val="25"/>
    <w:lvlOverride w:ilvl="0">
      <w:startOverride w:val="1"/>
    </w:lvlOverride>
  </w:num>
  <w:num w:numId="25">
    <w:abstractNumId w:val="19"/>
  </w:num>
  <w:num w:numId="26">
    <w:abstractNumId w:val="14"/>
  </w:num>
  <w:num w:numId="27">
    <w:abstractNumId w:val="25"/>
  </w:num>
  <w:num w:numId="28">
    <w:abstractNumId w:val="25"/>
  </w:num>
  <w:num w:numId="29">
    <w:abstractNumId w:val="25"/>
  </w:num>
  <w:num w:numId="30">
    <w:abstractNumId w:val="25"/>
  </w:num>
  <w:num w:numId="31">
    <w:abstractNumId w:val="9"/>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ng, Do Thanh (PETROLIMEX)">
    <w15:presenceInfo w15:providerId="AD" w15:userId="S::longdt2@petrolimex.com.vn::f8fcd5e9-3a3d-4f7e-aed6-3786f804c2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1709"/>
    <w:rsid w:val="00001AD3"/>
    <w:rsid w:val="00002553"/>
    <w:rsid w:val="00003EC1"/>
    <w:rsid w:val="00004F57"/>
    <w:rsid w:val="00005AD8"/>
    <w:rsid w:val="000073C5"/>
    <w:rsid w:val="000073E9"/>
    <w:rsid w:val="00007688"/>
    <w:rsid w:val="00007CDA"/>
    <w:rsid w:val="00007CF9"/>
    <w:rsid w:val="0001092A"/>
    <w:rsid w:val="00012740"/>
    <w:rsid w:val="0001274D"/>
    <w:rsid w:val="000127B1"/>
    <w:rsid w:val="0001346D"/>
    <w:rsid w:val="00013AEC"/>
    <w:rsid w:val="00014D77"/>
    <w:rsid w:val="0001503F"/>
    <w:rsid w:val="000152D3"/>
    <w:rsid w:val="00015744"/>
    <w:rsid w:val="00016226"/>
    <w:rsid w:val="0001680B"/>
    <w:rsid w:val="00017AA5"/>
    <w:rsid w:val="00021CC5"/>
    <w:rsid w:val="00021EDB"/>
    <w:rsid w:val="0002251B"/>
    <w:rsid w:val="0002295D"/>
    <w:rsid w:val="00022A9B"/>
    <w:rsid w:val="00022E84"/>
    <w:rsid w:val="0002405F"/>
    <w:rsid w:val="000264EE"/>
    <w:rsid w:val="0002671D"/>
    <w:rsid w:val="00026A6D"/>
    <w:rsid w:val="00026AE7"/>
    <w:rsid w:val="0002767F"/>
    <w:rsid w:val="00027CA6"/>
    <w:rsid w:val="00031ABF"/>
    <w:rsid w:val="00033223"/>
    <w:rsid w:val="00033441"/>
    <w:rsid w:val="0003357B"/>
    <w:rsid w:val="000337EE"/>
    <w:rsid w:val="00033E7A"/>
    <w:rsid w:val="000340E7"/>
    <w:rsid w:val="00034616"/>
    <w:rsid w:val="00034675"/>
    <w:rsid w:val="00035635"/>
    <w:rsid w:val="00035836"/>
    <w:rsid w:val="00035DA8"/>
    <w:rsid w:val="00037050"/>
    <w:rsid w:val="00037657"/>
    <w:rsid w:val="0003770C"/>
    <w:rsid w:val="00037A53"/>
    <w:rsid w:val="00040C69"/>
    <w:rsid w:val="000414D4"/>
    <w:rsid w:val="000423A1"/>
    <w:rsid w:val="00042AB0"/>
    <w:rsid w:val="00042EC4"/>
    <w:rsid w:val="00043FE8"/>
    <w:rsid w:val="00045C2C"/>
    <w:rsid w:val="000471F6"/>
    <w:rsid w:val="00047B31"/>
    <w:rsid w:val="00047E36"/>
    <w:rsid w:val="000501D7"/>
    <w:rsid w:val="000514F7"/>
    <w:rsid w:val="0005156C"/>
    <w:rsid w:val="00052177"/>
    <w:rsid w:val="00052602"/>
    <w:rsid w:val="00052E8A"/>
    <w:rsid w:val="00055B21"/>
    <w:rsid w:val="00055E2E"/>
    <w:rsid w:val="00055F30"/>
    <w:rsid w:val="0005701F"/>
    <w:rsid w:val="0006063C"/>
    <w:rsid w:val="00060DF5"/>
    <w:rsid w:val="0006375C"/>
    <w:rsid w:val="00063885"/>
    <w:rsid w:val="00066B18"/>
    <w:rsid w:val="00066C59"/>
    <w:rsid w:val="00066EBD"/>
    <w:rsid w:val="00067A00"/>
    <w:rsid w:val="00070433"/>
    <w:rsid w:val="000704F7"/>
    <w:rsid w:val="00070F16"/>
    <w:rsid w:val="00071FC9"/>
    <w:rsid w:val="00072634"/>
    <w:rsid w:val="0007278C"/>
    <w:rsid w:val="00072CDF"/>
    <w:rsid w:val="000738F6"/>
    <w:rsid w:val="000751F4"/>
    <w:rsid w:val="0007712B"/>
    <w:rsid w:val="0008005B"/>
    <w:rsid w:val="00080395"/>
    <w:rsid w:val="0008091F"/>
    <w:rsid w:val="00080BFF"/>
    <w:rsid w:val="00082E45"/>
    <w:rsid w:val="0008418D"/>
    <w:rsid w:val="00084286"/>
    <w:rsid w:val="0008449E"/>
    <w:rsid w:val="00085021"/>
    <w:rsid w:val="00085E3C"/>
    <w:rsid w:val="00091988"/>
    <w:rsid w:val="00091CD2"/>
    <w:rsid w:val="00092B88"/>
    <w:rsid w:val="0009393A"/>
    <w:rsid w:val="00094545"/>
    <w:rsid w:val="00094CD4"/>
    <w:rsid w:val="00094DF1"/>
    <w:rsid w:val="00096156"/>
    <w:rsid w:val="0009691F"/>
    <w:rsid w:val="00097058"/>
    <w:rsid w:val="00097621"/>
    <w:rsid w:val="000A03D9"/>
    <w:rsid w:val="000A0748"/>
    <w:rsid w:val="000A0792"/>
    <w:rsid w:val="000A07FF"/>
    <w:rsid w:val="000A22F0"/>
    <w:rsid w:val="000A2B13"/>
    <w:rsid w:val="000A5231"/>
    <w:rsid w:val="000A52A4"/>
    <w:rsid w:val="000A555A"/>
    <w:rsid w:val="000A5BA4"/>
    <w:rsid w:val="000A5F0D"/>
    <w:rsid w:val="000A6861"/>
    <w:rsid w:val="000A759F"/>
    <w:rsid w:val="000B07F4"/>
    <w:rsid w:val="000B2090"/>
    <w:rsid w:val="000B2F85"/>
    <w:rsid w:val="000B32E1"/>
    <w:rsid w:val="000B3597"/>
    <w:rsid w:val="000B3A18"/>
    <w:rsid w:val="000B3A35"/>
    <w:rsid w:val="000B41E7"/>
    <w:rsid w:val="000B628A"/>
    <w:rsid w:val="000C00D7"/>
    <w:rsid w:val="000C0199"/>
    <w:rsid w:val="000C02EC"/>
    <w:rsid w:val="000C2186"/>
    <w:rsid w:val="000C4410"/>
    <w:rsid w:val="000C48A0"/>
    <w:rsid w:val="000C4B54"/>
    <w:rsid w:val="000C5631"/>
    <w:rsid w:val="000C62A0"/>
    <w:rsid w:val="000C72C4"/>
    <w:rsid w:val="000C7707"/>
    <w:rsid w:val="000D0B2F"/>
    <w:rsid w:val="000D0F21"/>
    <w:rsid w:val="000D190B"/>
    <w:rsid w:val="000D24EA"/>
    <w:rsid w:val="000D274F"/>
    <w:rsid w:val="000D2C07"/>
    <w:rsid w:val="000D3858"/>
    <w:rsid w:val="000D3E2F"/>
    <w:rsid w:val="000D515B"/>
    <w:rsid w:val="000D5989"/>
    <w:rsid w:val="000D62E5"/>
    <w:rsid w:val="000D64F8"/>
    <w:rsid w:val="000D7324"/>
    <w:rsid w:val="000D7A3D"/>
    <w:rsid w:val="000E00B3"/>
    <w:rsid w:val="000E1BC9"/>
    <w:rsid w:val="000E26B2"/>
    <w:rsid w:val="000E367D"/>
    <w:rsid w:val="000E36F2"/>
    <w:rsid w:val="000E38A1"/>
    <w:rsid w:val="000E4A7B"/>
    <w:rsid w:val="000E648D"/>
    <w:rsid w:val="000E6FB1"/>
    <w:rsid w:val="000F019D"/>
    <w:rsid w:val="000F074B"/>
    <w:rsid w:val="000F0BF7"/>
    <w:rsid w:val="000F0FD4"/>
    <w:rsid w:val="000F1280"/>
    <w:rsid w:val="000F13E7"/>
    <w:rsid w:val="000F20F8"/>
    <w:rsid w:val="000F315E"/>
    <w:rsid w:val="000F3DD4"/>
    <w:rsid w:val="000F44DC"/>
    <w:rsid w:val="000F45F7"/>
    <w:rsid w:val="000F5234"/>
    <w:rsid w:val="000F5651"/>
    <w:rsid w:val="000F6F98"/>
    <w:rsid w:val="000F73F2"/>
    <w:rsid w:val="00100325"/>
    <w:rsid w:val="00101348"/>
    <w:rsid w:val="00102309"/>
    <w:rsid w:val="001029F5"/>
    <w:rsid w:val="00103A64"/>
    <w:rsid w:val="001048CA"/>
    <w:rsid w:val="001049A8"/>
    <w:rsid w:val="00105214"/>
    <w:rsid w:val="00105797"/>
    <w:rsid w:val="00110E45"/>
    <w:rsid w:val="001118F9"/>
    <w:rsid w:val="00112037"/>
    <w:rsid w:val="00112731"/>
    <w:rsid w:val="001128C1"/>
    <w:rsid w:val="00112A2B"/>
    <w:rsid w:val="0011334E"/>
    <w:rsid w:val="00113EFE"/>
    <w:rsid w:val="001149B5"/>
    <w:rsid w:val="001173C4"/>
    <w:rsid w:val="00121E9B"/>
    <w:rsid w:val="00121F6E"/>
    <w:rsid w:val="001220C4"/>
    <w:rsid w:val="00122DE8"/>
    <w:rsid w:val="00123A15"/>
    <w:rsid w:val="00124388"/>
    <w:rsid w:val="00125728"/>
    <w:rsid w:val="001265AF"/>
    <w:rsid w:val="00126F71"/>
    <w:rsid w:val="0013031E"/>
    <w:rsid w:val="0013058C"/>
    <w:rsid w:val="00130B06"/>
    <w:rsid w:val="00134930"/>
    <w:rsid w:val="00134FB6"/>
    <w:rsid w:val="00137756"/>
    <w:rsid w:val="00137DE0"/>
    <w:rsid w:val="00140070"/>
    <w:rsid w:val="0014064F"/>
    <w:rsid w:val="00141405"/>
    <w:rsid w:val="00141D5A"/>
    <w:rsid w:val="00141EE3"/>
    <w:rsid w:val="0014297B"/>
    <w:rsid w:val="00142EBE"/>
    <w:rsid w:val="00142FC5"/>
    <w:rsid w:val="001437F4"/>
    <w:rsid w:val="00143C8A"/>
    <w:rsid w:val="0014529D"/>
    <w:rsid w:val="00145399"/>
    <w:rsid w:val="00145AF7"/>
    <w:rsid w:val="00146E36"/>
    <w:rsid w:val="0015074B"/>
    <w:rsid w:val="0015078A"/>
    <w:rsid w:val="00151020"/>
    <w:rsid w:val="001519CB"/>
    <w:rsid w:val="00151A5A"/>
    <w:rsid w:val="00152463"/>
    <w:rsid w:val="00152F27"/>
    <w:rsid w:val="0015346E"/>
    <w:rsid w:val="00153497"/>
    <w:rsid w:val="001537A1"/>
    <w:rsid w:val="00153BD8"/>
    <w:rsid w:val="00154C9A"/>
    <w:rsid w:val="001560C4"/>
    <w:rsid w:val="00156BEA"/>
    <w:rsid w:val="00160AA9"/>
    <w:rsid w:val="00160EA0"/>
    <w:rsid w:val="001616B9"/>
    <w:rsid w:val="00161B8D"/>
    <w:rsid w:val="00163423"/>
    <w:rsid w:val="00163B2B"/>
    <w:rsid w:val="00164469"/>
    <w:rsid w:val="0016492F"/>
    <w:rsid w:val="00164B1E"/>
    <w:rsid w:val="00165D43"/>
    <w:rsid w:val="00166AED"/>
    <w:rsid w:val="001705C4"/>
    <w:rsid w:val="00170D00"/>
    <w:rsid w:val="001714AD"/>
    <w:rsid w:val="00171B1C"/>
    <w:rsid w:val="00175020"/>
    <w:rsid w:val="001752B0"/>
    <w:rsid w:val="00175450"/>
    <w:rsid w:val="00176CB4"/>
    <w:rsid w:val="001802C7"/>
    <w:rsid w:val="0018249F"/>
    <w:rsid w:val="00183564"/>
    <w:rsid w:val="001837B8"/>
    <w:rsid w:val="00184095"/>
    <w:rsid w:val="00184DC2"/>
    <w:rsid w:val="00184EE9"/>
    <w:rsid w:val="0018686F"/>
    <w:rsid w:val="001902D4"/>
    <w:rsid w:val="00190519"/>
    <w:rsid w:val="00190C75"/>
    <w:rsid w:val="0019125D"/>
    <w:rsid w:val="00191649"/>
    <w:rsid w:val="001920D9"/>
    <w:rsid w:val="001923CB"/>
    <w:rsid w:val="001926B2"/>
    <w:rsid w:val="001937EB"/>
    <w:rsid w:val="00194F72"/>
    <w:rsid w:val="00196003"/>
    <w:rsid w:val="00196D9E"/>
    <w:rsid w:val="00196FDD"/>
    <w:rsid w:val="001970E2"/>
    <w:rsid w:val="001971F6"/>
    <w:rsid w:val="001973BB"/>
    <w:rsid w:val="0019779B"/>
    <w:rsid w:val="00197CC0"/>
    <w:rsid w:val="001A0957"/>
    <w:rsid w:val="001A13D0"/>
    <w:rsid w:val="001A20E3"/>
    <w:rsid w:val="001A2BD1"/>
    <w:rsid w:val="001A3A07"/>
    <w:rsid w:val="001A3CD3"/>
    <w:rsid w:val="001A43CB"/>
    <w:rsid w:val="001A46D8"/>
    <w:rsid w:val="001A4A1F"/>
    <w:rsid w:val="001A4EBC"/>
    <w:rsid w:val="001A540E"/>
    <w:rsid w:val="001A54D7"/>
    <w:rsid w:val="001B0700"/>
    <w:rsid w:val="001B0BBA"/>
    <w:rsid w:val="001B1026"/>
    <w:rsid w:val="001B149A"/>
    <w:rsid w:val="001B2026"/>
    <w:rsid w:val="001B23A6"/>
    <w:rsid w:val="001B28E9"/>
    <w:rsid w:val="001B3A96"/>
    <w:rsid w:val="001B4411"/>
    <w:rsid w:val="001B50AB"/>
    <w:rsid w:val="001B5256"/>
    <w:rsid w:val="001B5292"/>
    <w:rsid w:val="001B662D"/>
    <w:rsid w:val="001B6E1B"/>
    <w:rsid w:val="001B75C8"/>
    <w:rsid w:val="001C0311"/>
    <w:rsid w:val="001C1542"/>
    <w:rsid w:val="001C159B"/>
    <w:rsid w:val="001C2280"/>
    <w:rsid w:val="001C2B7F"/>
    <w:rsid w:val="001C2C41"/>
    <w:rsid w:val="001C3A26"/>
    <w:rsid w:val="001C3BB4"/>
    <w:rsid w:val="001C41AC"/>
    <w:rsid w:val="001C472A"/>
    <w:rsid w:val="001C4B99"/>
    <w:rsid w:val="001C5CBA"/>
    <w:rsid w:val="001C6115"/>
    <w:rsid w:val="001C613E"/>
    <w:rsid w:val="001C65A1"/>
    <w:rsid w:val="001C6928"/>
    <w:rsid w:val="001D07AE"/>
    <w:rsid w:val="001D0B0F"/>
    <w:rsid w:val="001D10DD"/>
    <w:rsid w:val="001D1CE9"/>
    <w:rsid w:val="001D1D91"/>
    <w:rsid w:val="001D2BE9"/>
    <w:rsid w:val="001D437F"/>
    <w:rsid w:val="001D4771"/>
    <w:rsid w:val="001D4960"/>
    <w:rsid w:val="001D55B3"/>
    <w:rsid w:val="001D58CF"/>
    <w:rsid w:val="001D6A9E"/>
    <w:rsid w:val="001D7683"/>
    <w:rsid w:val="001E09FF"/>
    <w:rsid w:val="001E18D2"/>
    <w:rsid w:val="001E18E5"/>
    <w:rsid w:val="001E190E"/>
    <w:rsid w:val="001E197C"/>
    <w:rsid w:val="001E1998"/>
    <w:rsid w:val="001E1ABB"/>
    <w:rsid w:val="001E2EF3"/>
    <w:rsid w:val="001E39F7"/>
    <w:rsid w:val="001E3EBD"/>
    <w:rsid w:val="001E58E3"/>
    <w:rsid w:val="001E5E05"/>
    <w:rsid w:val="001E5E92"/>
    <w:rsid w:val="001E6C9B"/>
    <w:rsid w:val="001F0D0E"/>
    <w:rsid w:val="001F1357"/>
    <w:rsid w:val="001F1CA4"/>
    <w:rsid w:val="001F4D67"/>
    <w:rsid w:val="001F5CCC"/>
    <w:rsid w:val="001F5F5F"/>
    <w:rsid w:val="001F67E6"/>
    <w:rsid w:val="001F76A0"/>
    <w:rsid w:val="001F7AF2"/>
    <w:rsid w:val="0020089B"/>
    <w:rsid w:val="00200B98"/>
    <w:rsid w:val="00200DCE"/>
    <w:rsid w:val="00201C0A"/>
    <w:rsid w:val="00202C2E"/>
    <w:rsid w:val="00202C38"/>
    <w:rsid w:val="00202DB0"/>
    <w:rsid w:val="00203717"/>
    <w:rsid w:val="0020389F"/>
    <w:rsid w:val="00203C73"/>
    <w:rsid w:val="00204E06"/>
    <w:rsid w:val="00205D30"/>
    <w:rsid w:val="00205F33"/>
    <w:rsid w:val="002068EF"/>
    <w:rsid w:val="00206979"/>
    <w:rsid w:val="00206B57"/>
    <w:rsid w:val="00206E26"/>
    <w:rsid w:val="00207A60"/>
    <w:rsid w:val="0021021C"/>
    <w:rsid w:val="002102A6"/>
    <w:rsid w:val="00210B01"/>
    <w:rsid w:val="00211FB4"/>
    <w:rsid w:val="00212261"/>
    <w:rsid w:val="00212348"/>
    <w:rsid w:val="002128B9"/>
    <w:rsid w:val="00213BCD"/>
    <w:rsid w:val="00214604"/>
    <w:rsid w:val="00214FF1"/>
    <w:rsid w:val="002156AF"/>
    <w:rsid w:val="002170AA"/>
    <w:rsid w:val="002206C4"/>
    <w:rsid w:val="002229C6"/>
    <w:rsid w:val="00222B44"/>
    <w:rsid w:val="002234CA"/>
    <w:rsid w:val="00223519"/>
    <w:rsid w:val="002243A9"/>
    <w:rsid w:val="00224A30"/>
    <w:rsid w:val="00224C8F"/>
    <w:rsid w:val="0022571E"/>
    <w:rsid w:val="002257A6"/>
    <w:rsid w:val="00227E22"/>
    <w:rsid w:val="002320A7"/>
    <w:rsid w:val="00232170"/>
    <w:rsid w:val="0023252B"/>
    <w:rsid w:val="00232C1D"/>
    <w:rsid w:val="0023388A"/>
    <w:rsid w:val="00233B0E"/>
    <w:rsid w:val="0023467A"/>
    <w:rsid w:val="00234860"/>
    <w:rsid w:val="002350E6"/>
    <w:rsid w:val="002361F7"/>
    <w:rsid w:val="00241081"/>
    <w:rsid w:val="00241092"/>
    <w:rsid w:val="00241485"/>
    <w:rsid w:val="002418AA"/>
    <w:rsid w:val="00241AC2"/>
    <w:rsid w:val="00241EBC"/>
    <w:rsid w:val="00242F77"/>
    <w:rsid w:val="002433C6"/>
    <w:rsid w:val="0024388A"/>
    <w:rsid w:val="0024421C"/>
    <w:rsid w:val="002460E8"/>
    <w:rsid w:val="00246453"/>
    <w:rsid w:val="0024786E"/>
    <w:rsid w:val="00247CE6"/>
    <w:rsid w:val="002500C6"/>
    <w:rsid w:val="002505DE"/>
    <w:rsid w:val="00252A61"/>
    <w:rsid w:val="00252F5C"/>
    <w:rsid w:val="00253575"/>
    <w:rsid w:val="0025407E"/>
    <w:rsid w:val="00254935"/>
    <w:rsid w:val="00254DEB"/>
    <w:rsid w:val="00257080"/>
    <w:rsid w:val="002607E8"/>
    <w:rsid w:val="00261C38"/>
    <w:rsid w:val="002624A6"/>
    <w:rsid w:val="0026524E"/>
    <w:rsid w:val="00266AC6"/>
    <w:rsid w:val="00272002"/>
    <w:rsid w:val="00273C03"/>
    <w:rsid w:val="00274919"/>
    <w:rsid w:val="00275995"/>
    <w:rsid w:val="00275F25"/>
    <w:rsid w:val="002764D2"/>
    <w:rsid w:val="00277A27"/>
    <w:rsid w:val="00281A0E"/>
    <w:rsid w:val="00281C8B"/>
    <w:rsid w:val="002823A0"/>
    <w:rsid w:val="002829D5"/>
    <w:rsid w:val="0028610D"/>
    <w:rsid w:val="002863CE"/>
    <w:rsid w:val="002928A8"/>
    <w:rsid w:val="00292AB8"/>
    <w:rsid w:val="00293021"/>
    <w:rsid w:val="002941A2"/>
    <w:rsid w:val="00294F40"/>
    <w:rsid w:val="00294FF0"/>
    <w:rsid w:val="002950AA"/>
    <w:rsid w:val="0029639D"/>
    <w:rsid w:val="0029769F"/>
    <w:rsid w:val="002A1AB3"/>
    <w:rsid w:val="002A1B8F"/>
    <w:rsid w:val="002A1DCC"/>
    <w:rsid w:val="002A2B4E"/>
    <w:rsid w:val="002A564C"/>
    <w:rsid w:val="002A7792"/>
    <w:rsid w:val="002B01C0"/>
    <w:rsid w:val="002B137B"/>
    <w:rsid w:val="002B2635"/>
    <w:rsid w:val="002B2FED"/>
    <w:rsid w:val="002B3628"/>
    <w:rsid w:val="002B38CE"/>
    <w:rsid w:val="002B4290"/>
    <w:rsid w:val="002B446E"/>
    <w:rsid w:val="002B4823"/>
    <w:rsid w:val="002B4B24"/>
    <w:rsid w:val="002B5486"/>
    <w:rsid w:val="002B550D"/>
    <w:rsid w:val="002B571C"/>
    <w:rsid w:val="002B68B9"/>
    <w:rsid w:val="002B6993"/>
    <w:rsid w:val="002B7072"/>
    <w:rsid w:val="002B7F59"/>
    <w:rsid w:val="002C09C2"/>
    <w:rsid w:val="002C0EF8"/>
    <w:rsid w:val="002C205A"/>
    <w:rsid w:val="002C213F"/>
    <w:rsid w:val="002C3A00"/>
    <w:rsid w:val="002C3CFB"/>
    <w:rsid w:val="002C4170"/>
    <w:rsid w:val="002C4AE8"/>
    <w:rsid w:val="002C4D7B"/>
    <w:rsid w:val="002C4F03"/>
    <w:rsid w:val="002C525B"/>
    <w:rsid w:val="002C5843"/>
    <w:rsid w:val="002C598A"/>
    <w:rsid w:val="002C7C46"/>
    <w:rsid w:val="002C7C47"/>
    <w:rsid w:val="002C7E90"/>
    <w:rsid w:val="002D0497"/>
    <w:rsid w:val="002D076A"/>
    <w:rsid w:val="002D1E72"/>
    <w:rsid w:val="002D20D8"/>
    <w:rsid w:val="002D2AAD"/>
    <w:rsid w:val="002D3D06"/>
    <w:rsid w:val="002D5406"/>
    <w:rsid w:val="002D731A"/>
    <w:rsid w:val="002D762E"/>
    <w:rsid w:val="002D76A0"/>
    <w:rsid w:val="002E038D"/>
    <w:rsid w:val="002E087C"/>
    <w:rsid w:val="002E296D"/>
    <w:rsid w:val="002E2FCC"/>
    <w:rsid w:val="002E3D50"/>
    <w:rsid w:val="002E58FB"/>
    <w:rsid w:val="002E5BB9"/>
    <w:rsid w:val="002E6858"/>
    <w:rsid w:val="002E706F"/>
    <w:rsid w:val="002E75D1"/>
    <w:rsid w:val="002F0D8F"/>
    <w:rsid w:val="002F1A9A"/>
    <w:rsid w:val="002F236E"/>
    <w:rsid w:val="002F23BD"/>
    <w:rsid w:val="002F3125"/>
    <w:rsid w:val="002F368E"/>
    <w:rsid w:val="002F3A0E"/>
    <w:rsid w:val="002F3B0F"/>
    <w:rsid w:val="002F44DF"/>
    <w:rsid w:val="002F476F"/>
    <w:rsid w:val="002F4BA5"/>
    <w:rsid w:val="002F52E4"/>
    <w:rsid w:val="002F638E"/>
    <w:rsid w:val="00300000"/>
    <w:rsid w:val="0030090E"/>
    <w:rsid w:val="00300EC0"/>
    <w:rsid w:val="0030107E"/>
    <w:rsid w:val="003021F9"/>
    <w:rsid w:val="00302FF3"/>
    <w:rsid w:val="003036D2"/>
    <w:rsid w:val="003041BA"/>
    <w:rsid w:val="00304E21"/>
    <w:rsid w:val="0030538C"/>
    <w:rsid w:val="0030623E"/>
    <w:rsid w:val="00310336"/>
    <w:rsid w:val="003105FB"/>
    <w:rsid w:val="00311220"/>
    <w:rsid w:val="00311296"/>
    <w:rsid w:val="0031151B"/>
    <w:rsid w:val="003117C2"/>
    <w:rsid w:val="0031237F"/>
    <w:rsid w:val="00313431"/>
    <w:rsid w:val="0031405F"/>
    <w:rsid w:val="003146C3"/>
    <w:rsid w:val="0031539A"/>
    <w:rsid w:val="00315543"/>
    <w:rsid w:val="00315F52"/>
    <w:rsid w:val="00316A3F"/>
    <w:rsid w:val="003176FD"/>
    <w:rsid w:val="00317B80"/>
    <w:rsid w:val="00321280"/>
    <w:rsid w:val="00321773"/>
    <w:rsid w:val="003220BA"/>
    <w:rsid w:val="0032231A"/>
    <w:rsid w:val="00322671"/>
    <w:rsid w:val="00322E58"/>
    <w:rsid w:val="00325C96"/>
    <w:rsid w:val="00325F4E"/>
    <w:rsid w:val="00326B8F"/>
    <w:rsid w:val="00326DEE"/>
    <w:rsid w:val="00326F90"/>
    <w:rsid w:val="003276CB"/>
    <w:rsid w:val="00327CC7"/>
    <w:rsid w:val="0033179E"/>
    <w:rsid w:val="00340834"/>
    <w:rsid w:val="00341CB8"/>
    <w:rsid w:val="00342037"/>
    <w:rsid w:val="0034374E"/>
    <w:rsid w:val="00344318"/>
    <w:rsid w:val="00344461"/>
    <w:rsid w:val="00344CFF"/>
    <w:rsid w:val="003453EB"/>
    <w:rsid w:val="00346921"/>
    <w:rsid w:val="00346B43"/>
    <w:rsid w:val="00346C60"/>
    <w:rsid w:val="003503B7"/>
    <w:rsid w:val="00350DB9"/>
    <w:rsid w:val="00350E4C"/>
    <w:rsid w:val="00351B03"/>
    <w:rsid w:val="00351EA8"/>
    <w:rsid w:val="0035321A"/>
    <w:rsid w:val="003549BB"/>
    <w:rsid w:val="00354C10"/>
    <w:rsid w:val="00355D8B"/>
    <w:rsid w:val="00357FD0"/>
    <w:rsid w:val="003614E0"/>
    <w:rsid w:val="003618FE"/>
    <w:rsid w:val="00361A43"/>
    <w:rsid w:val="00362880"/>
    <w:rsid w:val="00362C6F"/>
    <w:rsid w:val="00362D45"/>
    <w:rsid w:val="003634BF"/>
    <w:rsid w:val="00363863"/>
    <w:rsid w:val="003645FA"/>
    <w:rsid w:val="0036483D"/>
    <w:rsid w:val="00366B0D"/>
    <w:rsid w:val="00367D04"/>
    <w:rsid w:val="00367D14"/>
    <w:rsid w:val="00371202"/>
    <w:rsid w:val="0037445A"/>
    <w:rsid w:val="003757FA"/>
    <w:rsid w:val="00375B64"/>
    <w:rsid w:val="00376008"/>
    <w:rsid w:val="003761DD"/>
    <w:rsid w:val="0037638C"/>
    <w:rsid w:val="00376805"/>
    <w:rsid w:val="00377021"/>
    <w:rsid w:val="00377492"/>
    <w:rsid w:val="00377683"/>
    <w:rsid w:val="00377FA8"/>
    <w:rsid w:val="003819E7"/>
    <w:rsid w:val="0038297A"/>
    <w:rsid w:val="00382F19"/>
    <w:rsid w:val="00383028"/>
    <w:rsid w:val="003843DB"/>
    <w:rsid w:val="003845CB"/>
    <w:rsid w:val="00385240"/>
    <w:rsid w:val="00385D65"/>
    <w:rsid w:val="003861FA"/>
    <w:rsid w:val="00390DBA"/>
    <w:rsid w:val="0039161C"/>
    <w:rsid w:val="00393737"/>
    <w:rsid w:val="00393B6E"/>
    <w:rsid w:val="00395538"/>
    <w:rsid w:val="00396010"/>
    <w:rsid w:val="00396C60"/>
    <w:rsid w:val="003974CB"/>
    <w:rsid w:val="003A0145"/>
    <w:rsid w:val="003A2740"/>
    <w:rsid w:val="003A2E13"/>
    <w:rsid w:val="003A3140"/>
    <w:rsid w:val="003A4C43"/>
    <w:rsid w:val="003A522C"/>
    <w:rsid w:val="003A533A"/>
    <w:rsid w:val="003A558B"/>
    <w:rsid w:val="003A57F4"/>
    <w:rsid w:val="003A63BD"/>
    <w:rsid w:val="003A6F84"/>
    <w:rsid w:val="003A7468"/>
    <w:rsid w:val="003B04C9"/>
    <w:rsid w:val="003B0A45"/>
    <w:rsid w:val="003B17B3"/>
    <w:rsid w:val="003B1D18"/>
    <w:rsid w:val="003B22C6"/>
    <w:rsid w:val="003B2C03"/>
    <w:rsid w:val="003B2ED5"/>
    <w:rsid w:val="003B340D"/>
    <w:rsid w:val="003B512E"/>
    <w:rsid w:val="003B5263"/>
    <w:rsid w:val="003B5BCD"/>
    <w:rsid w:val="003B6310"/>
    <w:rsid w:val="003C0253"/>
    <w:rsid w:val="003C02E6"/>
    <w:rsid w:val="003C033C"/>
    <w:rsid w:val="003C0703"/>
    <w:rsid w:val="003C0B2A"/>
    <w:rsid w:val="003C1527"/>
    <w:rsid w:val="003C1552"/>
    <w:rsid w:val="003C2BE9"/>
    <w:rsid w:val="003C4072"/>
    <w:rsid w:val="003C51AD"/>
    <w:rsid w:val="003C527E"/>
    <w:rsid w:val="003C5539"/>
    <w:rsid w:val="003C5567"/>
    <w:rsid w:val="003C5C9D"/>
    <w:rsid w:val="003C5CC6"/>
    <w:rsid w:val="003C5E7B"/>
    <w:rsid w:val="003C62F2"/>
    <w:rsid w:val="003C6BE7"/>
    <w:rsid w:val="003C6C62"/>
    <w:rsid w:val="003C706E"/>
    <w:rsid w:val="003C7359"/>
    <w:rsid w:val="003C7616"/>
    <w:rsid w:val="003C7922"/>
    <w:rsid w:val="003C7CAF"/>
    <w:rsid w:val="003C7D40"/>
    <w:rsid w:val="003D1D5A"/>
    <w:rsid w:val="003D25BE"/>
    <w:rsid w:val="003D3074"/>
    <w:rsid w:val="003D3332"/>
    <w:rsid w:val="003D3ADB"/>
    <w:rsid w:val="003D3F25"/>
    <w:rsid w:val="003D59CC"/>
    <w:rsid w:val="003D61AF"/>
    <w:rsid w:val="003D6D90"/>
    <w:rsid w:val="003D7F53"/>
    <w:rsid w:val="003E035A"/>
    <w:rsid w:val="003E080D"/>
    <w:rsid w:val="003E0AFE"/>
    <w:rsid w:val="003E1501"/>
    <w:rsid w:val="003E18F8"/>
    <w:rsid w:val="003E1E8D"/>
    <w:rsid w:val="003E2303"/>
    <w:rsid w:val="003E269D"/>
    <w:rsid w:val="003E2AAA"/>
    <w:rsid w:val="003E2F9A"/>
    <w:rsid w:val="003E3987"/>
    <w:rsid w:val="003E484F"/>
    <w:rsid w:val="003E6889"/>
    <w:rsid w:val="003E7CC2"/>
    <w:rsid w:val="003F0777"/>
    <w:rsid w:val="003F114D"/>
    <w:rsid w:val="003F1AF9"/>
    <w:rsid w:val="003F2689"/>
    <w:rsid w:val="003F3038"/>
    <w:rsid w:val="003F321F"/>
    <w:rsid w:val="003F3E36"/>
    <w:rsid w:val="003F4F0D"/>
    <w:rsid w:val="003F5882"/>
    <w:rsid w:val="003F5A68"/>
    <w:rsid w:val="003F60FA"/>
    <w:rsid w:val="003F6A41"/>
    <w:rsid w:val="00400130"/>
    <w:rsid w:val="004002C6"/>
    <w:rsid w:val="004002DD"/>
    <w:rsid w:val="004003AB"/>
    <w:rsid w:val="00400C04"/>
    <w:rsid w:val="00400F53"/>
    <w:rsid w:val="004041E4"/>
    <w:rsid w:val="0040450E"/>
    <w:rsid w:val="00404741"/>
    <w:rsid w:val="00405C0E"/>
    <w:rsid w:val="00405CC8"/>
    <w:rsid w:val="00406A09"/>
    <w:rsid w:val="00406EA8"/>
    <w:rsid w:val="00407CB1"/>
    <w:rsid w:val="00410C4A"/>
    <w:rsid w:val="00410CB1"/>
    <w:rsid w:val="00411506"/>
    <w:rsid w:val="00411A8B"/>
    <w:rsid w:val="004121EB"/>
    <w:rsid w:val="00412278"/>
    <w:rsid w:val="00412C49"/>
    <w:rsid w:val="00412FCC"/>
    <w:rsid w:val="00413506"/>
    <w:rsid w:val="00413C1B"/>
    <w:rsid w:val="00413D04"/>
    <w:rsid w:val="004145B0"/>
    <w:rsid w:val="004154F6"/>
    <w:rsid w:val="00415781"/>
    <w:rsid w:val="00416266"/>
    <w:rsid w:val="004169AF"/>
    <w:rsid w:val="004170EB"/>
    <w:rsid w:val="0041729D"/>
    <w:rsid w:val="004215E4"/>
    <w:rsid w:val="0042177A"/>
    <w:rsid w:val="00423BCB"/>
    <w:rsid w:val="004256FC"/>
    <w:rsid w:val="00426DD6"/>
    <w:rsid w:val="00427008"/>
    <w:rsid w:val="00427044"/>
    <w:rsid w:val="00430B0E"/>
    <w:rsid w:val="00431C05"/>
    <w:rsid w:val="00433E66"/>
    <w:rsid w:val="00434B02"/>
    <w:rsid w:val="00434BF5"/>
    <w:rsid w:val="00435503"/>
    <w:rsid w:val="00435671"/>
    <w:rsid w:val="0043596E"/>
    <w:rsid w:val="00435F6F"/>
    <w:rsid w:val="00437339"/>
    <w:rsid w:val="00437357"/>
    <w:rsid w:val="004419ED"/>
    <w:rsid w:val="004447FD"/>
    <w:rsid w:val="00445C19"/>
    <w:rsid w:val="00445F16"/>
    <w:rsid w:val="0044755F"/>
    <w:rsid w:val="004477B8"/>
    <w:rsid w:val="00447E06"/>
    <w:rsid w:val="00447FB5"/>
    <w:rsid w:val="00451572"/>
    <w:rsid w:val="00451A67"/>
    <w:rsid w:val="00452165"/>
    <w:rsid w:val="00453407"/>
    <w:rsid w:val="00454298"/>
    <w:rsid w:val="00454899"/>
    <w:rsid w:val="00455212"/>
    <w:rsid w:val="00455D63"/>
    <w:rsid w:val="00455F17"/>
    <w:rsid w:val="00456059"/>
    <w:rsid w:val="00456AD1"/>
    <w:rsid w:val="004608DF"/>
    <w:rsid w:val="00461188"/>
    <w:rsid w:val="00461A91"/>
    <w:rsid w:val="00462095"/>
    <w:rsid w:val="00462CB7"/>
    <w:rsid w:val="00462EAE"/>
    <w:rsid w:val="0046446F"/>
    <w:rsid w:val="00464C1D"/>
    <w:rsid w:val="00464E51"/>
    <w:rsid w:val="00464EFA"/>
    <w:rsid w:val="00466351"/>
    <w:rsid w:val="00466FD9"/>
    <w:rsid w:val="004671A9"/>
    <w:rsid w:val="004676B4"/>
    <w:rsid w:val="00467AB1"/>
    <w:rsid w:val="00467F6B"/>
    <w:rsid w:val="004701A7"/>
    <w:rsid w:val="00470270"/>
    <w:rsid w:val="0047117C"/>
    <w:rsid w:val="00471D9F"/>
    <w:rsid w:val="004720A0"/>
    <w:rsid w:val="0047220E"/>
    <w:rsid w:val="00472332"/>
    <w:rsid w:val="00473912"/>
    <w:rsid w:val="00473B61"/>
    <w:rsid w:val="00473DE7"/>
    <w:rsid w:val="00474F07"/>
    <w:rsid w:val="004754AB"/>
    <w:rsid w:val="00475DAC"/>
    <w:rsid w:val="0047751C"/>
    <w:rsid w:val="00480F33"/>
    <w:rsid w:val="0048153A"/>
    <w:rsid w:val="004827B7"/>
    <w:rsid w:val="00483BF6"/>
    <w:rsid w:val="00485540"/>
    <w:rsid w:val="0048609C"/>
    <w:rsid w:val="004870CE"/>
    <w:rsid w:val="004874E7"/>
    <w:rsid w:val="00490374"/>
    <w:rsid w:val="004909B4"/>
    <w:rsid w:val="00490CFD"/>
    <w:rsid w:val="00491898"/>
    <w:rsid w:val="004923FB"/>
    <w:rsid w:val="0049279A"/>
    <w:rsid w:val="00492E83"/>
    <w:rsid w:val="0049327B"/>
    <w:rsid w:val="0049409F"/>
    <w:rsid w:val="004947EA"/>
    <w:rsid w:val="0049495B"/>
    <w:rsid w:val="00495FAF"/>
    <w:rsid w:val="004974B3"/>
    <w:rsid w:val="004A17D9"/>
    <w:rsid w:val="004A2E20"/>
    <w:rsid w:val="004A3080"/>
    <w:rsid w:val="004A4702"/>
    <w:rsid w:val="004A4B19"/>
    <w:rsid w:val="004A5F3B"/>
    <w:rsid w:val="004A6440"/>
    <w:rsid w:val="004A71B1"/>
    <w:rsid w:val="004B14F9"/>
    <w:rsid w:val="004B1EFD"/>
    <w:rsid w:val="004B222B"/>
    <w:rsid w:val="004B3978"/>
    <w:rsid w:val="004B4311"/>
    <w:rsid w:val="004B4B81"/>
    <w:rsid w:val="004B5EB5"/>
    <w:rsid w:val="004B681F"/>
    <w:rsid w:val="004C08EE"/>
    <w:rsid w:val="004C0D99"/>
    <w:rsid w:val="004C1BFE"/>
    <w:rsid w:val="004C6F26"/>
    <w:rsid w:val="004C740B"/>
    <w:rsid w:val="004C79F4"/>
    <w:rsid w:val="004C7B10"/>
    <w:rsid w:val="004C7D04"/>
    <w:rsid w:val="004D0087"/>
    <w:rsid w:val="004D0AAC"/>
    <w:rsid w:val="004D0CC1"/>
    <w:rsid w:val="004D1052"/>
    <w:rsid w:val="004D179C"/>
    <w:rsid w:val="004D17F6"/>
    <w:rsid w:val="004D3222"/>
    <w:rsid w:val="004D6E1C"/>
    <w:rsid w:val="004D717E"/>
    <w:rsid w:val="004D77C3"/>
    <w:rsid w:val="004E097D"/>
    <w:rsid w:val="004E13AE"/>
    <w:rsid w:val="004E14C4"/>
    <w:rsid w:val="004E1F1D"/>
    <w:rsid w:val="004E5361"/>
    <w:rsid w:val="004E5C8F"/>
    <w:rsid w:val="004E6A1F"/>
    <w:rsid w:val="004E7098"/>
    <w:rsid w:val="004F1F95"/>
    <w:rsid w:val="004F3FF4"/>
    <w:rsid w:val="004F4F9D"/>
    <w:rsid w:val="004F6856"/>
    <w:rsid w:val="004F6FA3"/>
    <w:rsid w:val="00500299"/>
    <w:rsid w:val="00500534"/>
    <w:rsid w:val="005006E9"/>
    <w:rsid w:val="00500C99"/>
    <w:rsid w:val="00501C1D"/>
    <w:rsid w:val="00501C1F"/>
    <w:rsid w:val="00501E97"/>
    <w:rsid w:val="005020AB"/>
    <w:rsid w:val="0050284B"/>
    <w:rsid w:val="00502DC6"/>
    <w:rsid w:val="00503F04"/>
    <w:rsid w:val="00505F13"/>
    <w:rsid w:val="00506B83"/>
    <w:rsid w:val="00507A7D"/>
    <w:rsid w:val="00507E21"/>
    <w:rsid w:val="00510B56"/>
    <w:rsid w:val="005111A4"/>
    <w:rsid w:val="005113B0"/>
    <w:rsid w:val="00511428"/>
    <w:rsid w:val="0051299A"/>
    <w:rsid w:val="0051331B"/>
    <w:rsid w:val="005133DB"/>
    <w:rsid w:val="00513986"/>
    <w:rsid w:val="00513CD1"/>
    <w:rsid w:val="00515103"/>
    <w:rsid w:val="00516DB9"/>
    <w:rsid w:val="0051731B"/>
    <w:rsid w:val="00517E4B"/>
    <w:rsid w:val="00524144"/>
    <w:rsid w:val="005247E6"/>
    <w:rsid w:val="0052659B"/>
    <w:rsid w:val="00531211"/>
    <w:rsid w:val="005329AB"/>
    <w:rsid w:val="00532A85"/>
    <w:rsid w:val="00532B57"/>
    <w:rsid w:val="005342A3"/>
    <w:rsid w:val="00534E5E"/>
    <w:rsid w:val="00535CA3"/>
    <w:rsid w:val="0053617B"/>
    <w:rsid w:val="00536B0B"/>
    <w:rsid w:val="00536BFC"/>
    <w:rsid w:val="00537E90"/>
    <w:rsid w:val="00537F90"/>
    <w:rsid w:val="005423F1"/>
    <w:rsid w:val="00543745"/>
    <w:rsid w:val="00543B8F"/>
    <w:rsid w:val="00543E9A"/>
    <w:rsid w:val="00544480"/>
    <w:rsid w:val="00545AC7"/>
    <w:rsid w:val="00545C76"/>
    <w:rsid w:val="00545C94"/>
    <w:rsid w:val="00546255"/>
    <w:rsid w:val="00547FCA"/>
    <w:rsid w:val="00551153"/>
    <w:rsid w:val="005515DF"/>
    <w:rsid w:val="0055259D"/>
    <w:rsid w:val="00552A74"/>
    <w:rsid w:val="0055319C"/>
    <w:rsid w:val="005537AD"/>
    <w:rsid w:val="00553B2C"/>
    <w:rsid w:val="00554A21"/>
    <w:rsid w:val="00554A45"/>
    <w:rsid w:val="005552D8"/>
    <w:rsid w:val="00556110"/>
    <w:rsid w:val="00556B98"/>
    <w:rsid w:val="00556C82"/>
    <w:rsid w:val="00556C9B"/>
    <w:rsid w:val="00561CC2"/>
    <w:rsid w:val="00562A9F"/>
    <w:rsid w:val="00563521"/>
    <w:rsid w:val="00564364"/>
    <w:rsid w:val="00565EBF"/>
    <w:rsid w:val="005663B2"/>
    <w:rsid w:val="00567E26"/>
    <w:rsid w:val="0057055F"/>
    <w:rsid w:val="00571946"/>
    <w:rsid w:val="00571D40"/>
    <w:rsid w:val="00571EF5"/>
    <w:rsid w:val="0057234B"/>
    <w:rsid w:val="00572479"/>
    <w:rsid w:val="00572E16"/>
    <w:rsid w:val="00573428"/>
    <w:rsid w:val="00573BC3"/>
    <w:rsid w:val="00574BCC"/>
    <w:rsid w:val="00575733"/>
    <w:rsid w:val="0057589D"/>
    <w:rsid w:val="0057645D"/>
    <w:rsid w:val="00576B3D"/>
    <w:rsid w:val="00576D0E"/>
    <w:rsid w:val="005773EF"/>
    <w:rsid w:val="005778C5"/>
    <w:rsid w:val="00581105"/>
    <w:rsid w:val="005820CA"/>
    <w:rsid w:val="005829D6"/>
    <w:rsid w:val="00582C91"/>
    <w:rsid w:val="00583441"/>
    <w:rsid w:val="00583AE7"/>
    <w:rsid w:val="00583C4A"/>
    <w:rsid w:val="00583E45"/>
    <w:rsid w:val="00584551"/>
    <w:rsid w:val="00584995"/>
    <w:rsid w:val="00584B83"/>
    <w:rsid w:val="0058536E"/>
    <w:rsid w:val="00585BBF"/>
    <w:rsid w:val="00586137"/>
    <w:rsid w:val="00586648"/>
    <w:rsid w:val="00586AB9"/>
    <w:rsid w:val="00586D6F"/>
    <w:rsid w:val="00587367"/>
    <w:rsid w:val="00591CFE"/>
    <w:rsid w:val="00591F7F"/>
    <w:rsid w:val="00592EB1"/>
    <w:rsid w:val="00594E0C"/>
    <w:rsid w:val="00596231"/>
    <w:rsid w:val="0059642D"/>
    <w:rsid w:val="005968DF"/>
    <w:rsid w:val="00596A18"/>
    <w:rsid w:val="00596C8E"/>
    <w:rsid w:val="005A0181"/>
    <w:rsid w:val="005A1984"/>
    <w:rsid w:val="005A21FF"/>
    <w:rsid w:val="005A2769"/>
    <w:rsid w:val="005A4A4D"/>
    <w:rsid w:val="005A6025"/>
    <w:rsid w:val="005A67DE"/>
    <w:rsid w:val="005A6893"/>
    <w:rsid w:val="005A70DD"/>
    <w:rsid w:val="005A78B8"/>
    <w:rsid w:val="005B042E"/>
    <w:rsid w:val="005B088A"/>
    <w:rsid w:val="005B0A4B"/>
    <w:rsid w:val="005B1150"/>
    <w:rsid w:val="005B19BF"/>
    <w:rsid w:val="005B1FD1"/>
    <w:rsid w:val="005B461C"/>
    <w:rsid w:val="005B53C4"/>
    <w:rsid w:val="005B55B4"/>
    <w:rsid w:val="005B57FA"/>
    <w:rsid w:val="005B5813"/>
    <w:rsid w:val="005B605A"/>
    <w:rsid w:val="005B6A8D"/>
    <w:rsid w:val="005B75BC"/>
    <w:rsid w:val="005C0461"/>
    <w:rsid w:val="005C068B"/>
    <w:rsid w:val="005C09B1"/>
    <w:rsid w:val="005C30F1"/>
    <w:rsid w:val="005C3171"/>
    <w:rsid w:val="005C3294"/>
    <w:rsid w:val="005C572D"/>
    <w:rsid w:val="005C61DF"/>
    <w:rsid w:val="005C75B2"/>
    <w:rsid w:val="005C75D3"/>
    <w:rsid w:val="005D015C"/>
    <w:rsid w:val="005D1568"/>
    <w:rsid w:val="005D1B4A"/>
    <w:rsid w:val="005D1F48"/>
    <w:rsid w:val="005D23AB"/>
    <w:rsid w:val="005D27B8"/>
    <w:rsid w:val="005D53FB"/>
    <w:rsid w:val="005D5A70"/>
    <w:rsid w:val="005D676F"/>
    <w:rsid w:val="005E2F2B"/>
    <w:rsid w:val="005E65C9"/>
    <w:rsid w:val="005E680E"/>
    <w:rsid w:val="005E7A92"/>
    <w:rsid w:val="005E7C21"/>
    <w:rsid w:val="005F28E3"/>
    <w:rsid w:val="005F311F"/>
    <w:rsid w:val="005F3CCA"/>
    <w:rsid w:val="005F5595"/>
    <w:rsid w:val="005F58BB"/>
    <w:rsid w:val="005F779A"/>
    <w:rsid w:val="00601118"/>
    <w:rsid w:val="006011CF"/>
    <w:rsid w:val="00602BEB"/>
    <w:rsid w:val="006032EB"/>
    <w:rsid w:val="00603C31"/>
    <w:rsid w:val="00604313"/>
    <w:rsid w:val="0060493B"/>
    <w:rsid w:val="00604BFA"/>
    <w:rsid w:val="0060538C"/>
    <w:rsid w:val="006057D4"/>
    <w:rsid w:val="00607410"/>
    <w:rsid w:val="00607AA7"/>
    <w:rsid w:val="00607DB4"/>
    <w:rsid w:val="006101F3"/>
    <w:rsid w:val="0061111D"/>
    <w:rsid w:val="006116ED"/>
    <w:rsid w:val="00611EEE"/>
    <w:rsid w:val="00612434"/>
    <w:rsid w:val="00613504"/>
    <w:rsid w:val="00616195"/>
    <w:rsid w:val="006164BA"/>
    <w:rsid w:val="00617254"/>
    <w:rsid w:val="00620155"/>
    <w:rsid w:val="00620172"/>
    <w:rsid w:val="00621044"/>
    <w:rsid w:val="0062288D"/>
    <w:rsid w:val="00622990"/>
    <w:rsid w:val="006236B9"/>
    <w:rsid w:val="00624C09"/>
    <w:rsid w:val="006256F3"/>
    <w:rsid w:val="00625FBF"/>
    <w:rsid w:val="00626FC0"/>
    <w:rsid w:val="006276EB"/>
    <w:rsid w:val="0063122A"/>
    <w:rsid w:val="00631726"/>
    <w:rsid w:val="006318D3"/>
    <w:rsid w:val="00631B3A"/>
    <w:rsid w:val="006332E1"/>
    <w:rsid w:val="006334D9"/>
    <w:rsid w:val="00634377"/>
    <w:rsid w:val="00634871"/>
    <w:rsid w:val="00634A35"/>
    <w:rsid w:val="0063518E"/>
    <w:rsid w:val="006354CD"/>
    <w:rsid w:val="00635B8F"/>
    <w:rsid w:val="00635C61"/>
    <w:rsid w:val="00636E9A"/>
    <w:rsid w:val="00637702"/>
    <w:rsid w:val="00637AB6"/>
    <w:rsid w:val="0064014C"/>
    <w:rsid w:val="00640487"/>
    <w:rsid w:val="00641B6A"/>
    <w:rsid w:val="0064227A"/>
    <w:rsid w:val="00642F95"/>
    <w:rsid w:val="00643C98"/>
    <w:rsid w:val="00644D2D"/>
    <w:rsid w:val="00645845"/>
    <w:rsid w:val="00645E5D"/>
    <w:rsid w:val="00650655"/>
    <w:rsid w:val="0065075A"/>
    <w:rsid w:val="006526BB"/>
    <w:rsid w:val="00653F83"/>
    <w:rsid w:val="00653F87"/>
    <w:rsid w:val="00654826"/>
    <w:rsid w:val="00654E83"/>
    <w:rsid w:val="0065535D"/>
    <w:rsid w:val="00655C60"/>
    <w:rsid w:val="00655F57"/>
    <w:rsid w:val="00656667"/>
    <w:rsid w:val="00656D6A"/>
    <w:rsid w:val="00660617"/>
    <w:rsid w:val="006608EA"/>
    <w:rsid w:val="006616E1"/>
    <w:rsid w:val="00662891"/>
    <w:rsid w:val="00663532"/>
    <w:rsid w:val="0066364B"/>
    <w:rsid w:val="00663912"/>
    <w:rsid w:val="0066417B"/>
    <w:rsid w:val="006643A9"/>
    <w:rsid w:val="006645B6"/>
    <w:rsid w:val="00666FFC"/>
    <w:rsid w:val="006702D1"/>
    <w:rsid w:val="006718B6"/>
    <w:rsid w:val="00671D2B"/>
    <w:rsid w:val="00671F66"/>
    <w:rsid w:val="00674FD9"/>
    <w:rsid w:val="00675C65"/>
    <w:rsid w:val="00676DBE"/>
    <w:rsid w:val="00677C80"/>
    <w:rsid w:val="006810F2"/>
    <w:rsid w:val="006817D4"/>
    <w:rsid w:val="0068256F"/>
    <w:rsid w:val="00682853"/>
    <w:rsid w:val="00683CC2"/>
    <w:rsid w:val="00683EAB"/>
    <w:rsid w:val="00683F50"/>
    <w:rsid w:val="00684DB0"/>
    <w:rsid w:val="00685A06"/>
    <w:rsid w:val="00686A70"/>
    <w:rsid w:val="006877C3"/>
    <w:rsid w:val="00691EF6"/>
    <w:rsid w:val="006934FB"/>
    <w:rsid w:val="00693A03"/>
    <w:rsid w:val="00693D24"/>
    <w:rsid w:val="00693F77"/>
    <w:rsid w:val="006957BD"/>
    <w:rsid w:val="0069581E"/>
    <w:rsid w:val="00695B82"/>
    <w:rsid w:val="006974D4"/>
    <w:rsid w:val="006A0DA6"/>
    <w:rsid w:val="006A28CF"/>
    <w:rsid w:val="006A2A74"/>
    <w:rsid w:val="006A30CA"/>
    <w:rsid w:val="006A3C9D"/>
    <w:rsid w:val="006A44F2"/>
    <w:rsid w:val="006A4FFC"/>
    <w:rsid w:val="006A53D1"/>
    <w:rsid w:val="006A631E"/>
    <w:rsid w:val="006B06AB"/>
    <w:rsid w:val="006B0C8D"/>
    <w:rsid w:val="006B1257"/>
    <w:rsid w:val="006B1669"/>
    <w:rsid w:val="006B32D3"/>
    <w:rsid w:val="006B3519"/>
    <w:rsid w:val="006B35B3"/>
    <w:rsid w:val="006B4D2B"/>
    <w:rsid w:val="006B63AF"/>
    <w:rsid w:val="006B7788"/>
    <w:rsid w:val="006C1D59"/>
    <w:rsid w:val="006C22F7"/>
    <w:rsid w:val="006C23D7"/>
    <w:rsid w:val="006C2867"/>
    <w:rsid w:val="006C2F47"/>
    <w:rsid w:val="006C36E4"/>
    <w:rsid w:val="006C3AC9"/>
    <w:rsid w:val="006C3CD6"/>
    <w:rsid w:val="006C6615"/>
    <w:rsid w:val="006C6C54"/>
    <w:rsid w:val="006C6E78"/>
    <w:rsid w:val="006D17BD"/>
    <w:rsid w:val="006D1ED8"/>
    <w:rsid w:val="006D21B5"/>
    <w:rsid w:val="006D2414"/>
    <w:rsid w:val="006D292B"/>
    <w:rsid w:val="006D3BB5"/>
    <w:rsid w:val="006D4519"/>
    <w:rsid w:val="006D51E7"/>
    <w:rsid w:val="006D5345"/>
    <w:rsid w:val="006D54B2"/>
    <w:rsid w:val="006E03C6"/>
    <w:rsid w:val="006E114E"/>
    <w:rsid w:val="006E3807"/>
    <w:rsid w:val="006E3D11"/>
    <w:rsid w:val="006E418F"/>
    <w:rsid w:val="006E426A"/>
    <w:rsid w:val="006E5F43"/>
    <w:rsid w:val="006E7626"/>
    <w:rsid w:val="006F02FF"/>
    <w:rsid w:val="006F0C04"/>
    <w:rsid w:val="006F0CB4"/>
    <w:rsid w:val="006F1009"/>
    <w:rsid w:val="006F2F7B"/>
    <w:rsid w:val="006F2F9F"/>
    <w:rsid w:val="006F3EDE"/>
    <w:rsid w:val="006F4E5E"/>
    <w:rsid w:val="006F6C6A"/>
    <w:rsid w:val="006F71FA"/>
    <w:rsid w:val="006F7B72"/>
    <w:rsid w:val="006F7DA5"/>
    <w:rsid w:val="007010A8"/>
    <w:rsid w:val="007033E6"/>
    <w:rsid w:val="007039EC"/>
    <w:rsid w:val="00703B9A"/>
    <w:rsid w:val="00703C08"/>
    <w:rsid w:val="007049A3"/>
    <w:rsid w:val="00705182"/>
    <w:rsid w:val="0070656B"/>
    <w:rsid w:val="00706AD8"/>
    <w:rsid w:val="007070C8"/>
    <w:rsid w:val="00707AD8"/>
    <w:rsid w:val="00710525"/>
    <w:rsid w:val="00710763"/>
    <w:rsid w:val="00710E30"/>
    <w:rsid w:val="00711FCC"/>
    <w:rsid w:val="00713922"/>
    <w:rsid w:val="0071493B"/>
    <w:rsid w:val="007167AF"/>
    <w:rsid w:val="00716B63"/>
    <w:rsid w:val="00717068"/>
    <w:rsid w:val="00717107"/>
    <w:rsid w:val="00717DEF"/>
    <w:rsid w:val="00717EBF"/>
    <w:rsid w:val="00720D79"/>
    <w:rsid w:val="00720EA8"/>
    <w:rsid w:val="00721ECA"/>
    <w:rsid w:val="007247E1"/>
    <w:rsid w:val="00724D73"/>
    <w:rsid w:val="00726076"/>
    <w:rsid w:val="00726D1C"/>
    <w:rsid w:val="00726E04"/>
    <w:rsid w:val="00730FCB"/>
    <w:rsid w:val="0073100D"/>
    <w:rsid w:val="00733630"/>
    <w:rsid w:val="0073489A"/>
    <w:rsid w:val="007359DA"/>
    <w:rsid w:val="00736DAB"/>
    <w:rsid w:val="00737764"/>
    <w:rsid w:val="007379D7"/>
    <w:rsid w:val="0074201D"/>
    <w:rsid w:val="0074489F"/>
    <w:rsid w:val="00744A67"/>
    <w:rsid w:val="00745E58"/>
    <w:rsid w:val="00746703"/>
    <w:rsid w:val="00746A51"/>
    <w:rsid w:val="00747A7E"/>
    <w:rsid w:val="00747B3D"/>
    <w:rsid w:val="00751113"/>
    <w:rsid w:val="00751FE4"/>
    <w:rsid w:val="007521DC"/>
    <w:rsid w:val="00752CF3"/>
    <w:rsid w:val="007531B5"/>
    <w:rsid w:val="007533A1"/>
    <w:rsid w:val="00753549"/>
    <w:rsid w:val="00753794"/>
    <w:rsid w:val="00755C2F"/>
    <w:rsid w:val="00756286"/>
    <w:rsid w:val="0075689A"/>
    <w:rsid w:val="007569E7"/>
    <w:rsid w:val="00757226"/>
    <w:rsid w:val="00757548"/>
    <w:rsid w:val="00757734"/>
    <w:rsid w:val="00757B61"/>
    <w:rsid w:val="00757FF1"/>
    <w:rsid w:val="007600A0"/>
    <w:rsid w:val="00761652"/>
    <w:rsid w:val="0076216F"/>
    <w:rsid w:val="00762A6B"/>
    <w:rsid w:val="0076469A"/>
    <w:rsid w:val="0076485A"/>
    <w:rsid w:val="00764C88"/>
    <w:rsid w:val="00766281"/>
    <w:rsid w:val="007714D7"/>
    <w:rsid w:val="00771D6E"/>
    <w:rsid w:val="0077206F"/>
    <w:rsid w:val="00772941"/>
    <w:rsid w:val="00772A85"/>
    <w:rsid w:val="007740A9"/>
    <w:rsid w:val="0077439C"/>
    <w:rsid w:val="00774ABA"/>
    <w:rsid w:val="007753D4"/>
    <w:rsid w:val="007755F1"/>
    <w:rsid w:val="00775946"/>
    <w:rsid w:val="007767B4"/>
    <w:rsid w:val="00777411"/>
    <w:rsid w:val="00777C29"/>
    <w:rsid w:val="00777E10"/>
    <w:rsid w:val="0078033F"/>
    <w:rsid w:val="00780D93"/>
    <w:rsid w:val="0078222E"/>
    <w:rsid w:val="007835F2"/>
    <w:rsid w:val="00783603"/>
    <w:rsid w:val="007839A1"/>
    <w:rsid w:val="00784561"/>
    <w:rsid w:val="007848A4"/>
    <w:rsid w:val="00786141"/>
    <w:rsid w:val="007867FB"/>
    <w:rsid w:val="00787C7A"/>
    <w:rsid w:val="00790760"/>
    <w:rsid w:val="0079121C"/>
    <w:rsid w:val="00791F77"/>
    <w:rsid w:val="0079241E"/>
    <w:rsid w:val="007926DE"/>
    <w:rsid w:val="00792757"/>
    <w:rsid w:val="00792788"/>
    <w:rsid w:val="0079283F"/>
    <w:rsid w:val="00792AAD"/>
    <w:rsid w:val="007934B0"/>
    <w:rsid w:val="00793EA3"/>
    <w:rsid w:val="0079403C"/>
    <w:rsid w:val="0079484E"/>
    <w:rsid w:val="00794CBE"/>
    <w:rsid w:val="00795BD8"/>
    <w:rsid w:val="007A247B"/>
    <w:rsid w:val="007A35D0"/>
    <w:rsid w:val="007A3FA3"/>
    <w:rsid w:val="007A46E9"/>
    <w:rsid w:val="007A49AF"/>
    <w:rsid w:val="007A6DE4"/>
    <w:rsid w:val="007A7263"/>
    <w:rsid w:val="007A7904"/>
    <w:rsid w:val="007A7CAB"/>
    <w:rsid w:val="007B1429"/>
    <w:rsid w:val="007B1665"/>
    <w:rsid w:val="007B1819"/>
    <w:rsid w:val="007B322C"/>
    <w:rsid w:val="007B3F12"/>
    <w:rsid w:val="007B47DC"/>
    <w:rsid w:val="007B50F8"/>
    <w:rsid w:val="007B613E"/>
    <w:rsid w:val="007B6A0E"/>
    <w:rsid w:val="007B6AF9"/>
    <w:rsid w:val="007B6F07"/>
    <w:rsid w:val="007B78D3"/>
    <w:rsid w:val="007C069B"/>
    <w:rsid w:val="007C191A"/>
    <w:rsid w:val="007C46F5"/>
    <w:rsid w:val="007C4763"/>
    <w:rsid w:val="007C563C"/>
    <w:rsid w:val="007C5D2E"/>
    <w:rsid w:val="007C688A"/>
    <w:rsid w:val="007D3136"/>
    <w:rsid w:val="007D3B25"/>
    <w:rsid w:val="007D473F"/>
    <w:rsid w:val="007D699C"/>
    <w:rsid w:val="007E14C4"/>
    <w:rsid w:val="007E2135"/>
    <w:rsid w:val="007E3AB7"/>
    <w:rsid w:val="007E3F7B"/>
    <w:rsid w:val="007E4199"/>
    <w:rsid w:val="007E4CA4"/>
    <w:rsid w:val="007E79D6"/>
    <w:rsid w:val="007E7C58"/>
    <w:rsid w:val="007F26E3"/>
    <w:rsid w:val="007F34BE"/>
    <w:rsid w:val="007F46D4"/>
    <w:rsid w:val="007F4CF0"/>
    <w:rsid w:val="007F5019"/>
    <w:rsid w:val="007F5B14"/>
    <w:rsid w:val="007F6DF5"/>
    <w:rsid w:val="00802209"/>
    <w:rsid w:val="008037BF"/>
    <w:rsid w:val="008037CF"/>
    <w:rsid w:val="00803F94"/>
    <w:rsid w:val="00804365"/>
    <w:rsid w:val="00804E07"/>
    <w:rsid w:val="00804E96"/>
    <w:rsid w:val="00805419"/>
    <w:rsid w:val="0080565E"/>
    <w:rsid w:val="00806A49"/>
    <w:rsid w:val="00812616"/>
    <w:rsid w:val="008133F3"/>
    <w:rsid w:val="00814383"/>
    <w:rsid w:val="008148A0"/>
    <w:rsid w:val="00815805"/>
    <w:rsid w:val="00815AA7"/>
    <w:rsid w:val="00815AD5"/>
    <w:rsid w:val="00816A38"/>
    <w:rsid w:val="00816F02"/>
    <w:rsid w:val="008172E4"/>
    <w:rsid w:val="0081730E"/>
    <w:rsid w:val="0081748C"/>
    <w:rsid w:val="008179D8"/>
    <w:rsid w:val="00817E51"/>
    <w:rsid w:val="0082015F"/>
    <w:rsid w:val="00820F60"/>
    <w:rsid w:val="0082231F"/>
    <w:rsid w:val="00822510"/>
    <w:rsid w:val="00823C80"/>
    <w:rsid w:val="00823E9C"/>
    <w:rsid w:val="00823F52"/>
    <w:rsid w:val="00825A41"/>
    <w:rsid w:val="0082723A"/>
    <w:rsid w:val="008274BA"/>
    <w:rsid w:val="008306A0"/>
    <w:rsid w:val="00830EB7"/>
    <w:rsid w:val="00832932"/>
    <w:rsid w:val="00832D36"/>
    <w:rsid w:val="008330D1"/>
    <w:rsid w:val="00834A4F"/>
    <w:rsid w:val="0083730D"/>
    <w:rsid w:val="00837A52"/>
    <w:rsid w:val="00840689"/>
    <w:rsid w:val="0084155F"/>
    <w:rsid w:val="008430C3"/>
    <w:rsid w:val="00844611"/>
    <w:rsid w:val="008462D0"/>
    <w:rsid w:val="0085011E"/>
    <w:rsid w:val="0085068F"/>
    <w:rsid w:val="00850849"/>
    <w:rsid w:val="00850E43"/>
    <w:rsid w:val="0085112D"/>
    <w:rsid w:val="00853597"/>
    <w:rsid w:val="00854467"/>
    <w:rsid w:val="008573B1"/>
    <w:rsid w:val="0085757B"/>
    <w:rsid w:val="00860B87"/>
    <w:rsid w:val="00861C89"/>
    <w:rsid w:val="00863FB1"/>
    <w:rsid w:val="00863FFD"/>
    <w:rsid w:val="008641F5"/>
    <w:rsid w:val="00864258"/>
    <w:rsid w:val="00866E56"/>
    <w:rsid w:val="00866EBD"/>
    <w:rsid w:val="00870A87"/>
    <w:rsid w:val="008710F1"/>
    <w:rsid w:val="008711D3"/>
    <w:rsid w:val="0087124B"/>
    <w:rsid w:val="0087151D"/>
    <w:rsid w:val="008726A7"/>
    <w:rsid w:val="008726B0"/>
    <w:rsid w:val="0087422F"/>
    <w:rsid w:val="00877104"/>
    <w:rsid w:val="008771E8"/>
    <w:rsid w:val="008772D9"/>
    <w:rsid w:val="0087756F"/>
    <w:rsid w:val="008775DB"/>
    <w:rsid w:val="008775FE"/>
    <w:rsid w:val="00880D57"/>
    <w:rsid w:val="00882A82"/>
    <w:rsid w:val="0088328F"/>
    <w:rsid w:val="008838B6"/>
    <w:rsid w:val="00884586"/>
    <w:rsid w:val="00884C02"/>
    <w:rsid w:val="00885883"/>
    <w:rsid w:val="008858C1"/>
    <w:rsid w:val="00886178"/>
    <w:rsid w:val="00887442"/>
    <w:rsid w:val="00892927"/>
    <w:rsid w:val="00893135"/>
    <w:rsid w:val="0089534F"/>
    <w:rsid w:val="00895532"/>
    <w:rsid w:val="00895A86"/>
    <w:rsid w:val="00896195"/>
    <w:rsid w:val="00896439"/>
    <w:rsid w:val="008968F5"/>
    <w:rsid w:val="00897162"/>
    <w:rsid w:val="00897225"/>
    <w:rsid w:val="008A3307"/>
    <w:rsid w:val="008A3362"/>
    <w:rsid w:val="008A41FA"/>
    <w:rsid w:val="008A49F8"/>
    <w:rsid w:val="008A4AD2"/>
    <w:rsid w:val="008A4E8B"/>
    <w:rsid w:val="008A5C5B"/>
    <w:rsid w:val="008A629F"/>
    <w:rsid w:val="008A62A2"/>
    <w:rsid w:val="008A6E35"/>
    <w:rsid w:val="008A7C72"/>
    <w:rsid w:val="008B0960"/>
    <w:rsid w:val="008B113D"/>
    <w:rsid w:val="008B14D5"/>
    <w:rsid w:val="008B1F8C"/>
    <w:rsid w:val="008B3D9E"/>
    <w:rsid w:val="008B4248"/>
    <w:rsid w:val="008B4474"/>
    <w:rsid w:val="008B4A4F"/>
    <w:rsid w:val="008B54F5"/>
    <w:rsid w:val="008B6082"/>
    <w:rsid w:val="008B61F7"/>
    <w:rsid w:val="008C4CBB"/>
    <w:rsid w:val="008C6285"/>
    <w:rsid w:val="008C6FF1"/>
    <w:rsid w:val="008C70D7"/>
    <w:rsid w:val="008C70E6"/>
    <w:rsid w:val="008C76A5"/>
    <w:rsid w:val="008D0805"/>
    <w:rsid w:val="008D12E9"/>
    <w:rsid w:val="008D3287"/>
    <w:rsid w:val="008D5981"/>
    <w:rsid w:val="008D6281"/>
    <w:rsid w:val="008D6578"/>
    <w:rsid w:val="008D70EC"/>
    <w:rsid w:val="008D7569"/>
    <w:rsid w:val="008D7998"/>
    <w:rsid w:val="008E41BB"/>
    <w:rsid w:val="008E5162"/>
    <w:rsid w:val="008E5EC7"/>
    <w:rsid w:val="008E6AD3"/>
    <w:rsid w:val="008E6C92"/>
    <w:rsid w:val="008E6FDE"/>
    <w:rsid w:val="008F09AF"/>
    <w:rsid w:val="008F0BF1"/>
    <w:rsid w:val="008F14F5"/>
    <w:rsid w:val="008F2135"/>
    <w:rsid w:val="008F3149"/>
    <w:rsid w:val="008F33C6"/>
    <w:rsid w:val="008F343B"/>
    <w:rsid w:val="008F3796"/>
    <w:rsid w:val="008F417E"/>
    <w:rsid w:val="008F448E"/>
    <w:rsid w:val="008F44E3"/>
    <w:rsid w:val="008F6499"/>
    <w:rsid w:val="008F74CC"/>
    <w:rsid w:val="00900461"/>
    <w:rsid w:val="00901F72"/>
    <w:rsid w:val="00902699"/>
    <w:rsid w:val="00902A33"/>
    <w:rsid w:val="00903FE3"/>
    <w:rsid w:val="0090426B"/>
    <w:rsid w:val="009042BB"/>
    <w:rsid w:val="00904811"/>
    <w:rsid w:val="00904966"/>
    <w:rsid w:val="00904A13"/>
    <w:rsid w:val="00906504"/>
    <w:rsid w:val="00906A31"/>
    <w:rsid w:val="009072CF"/>
    <w:rsid w:val="009100FD"/>
    <w:rsid w:val="00911002"/>
    <w:rsid w:val="00911F40"/>
    <w:rsid w:val="009120E6"/>
    <w:rsid w:val="0091269D"/>
    <w:rsid w:val="00913213"/>
    <w:rsid w:val="0091386A"/>
    <w:rsid w:val="0091489B"/>
    <w:rsid w:val="0091511A"/>
    <w:rsid w:val="0091545F"/>
    <w:rsid w:val="00915AA1"/>
    <w:rsid w:val="009167B1"/>
    <w:rsid w:val="00916DB9"/>
    <w:rsid w:val="00917D03"/>
    <w:rsid w:val="00920282"/>
    <w:rsid w:val="00922753"/>
    <w:rsid w:val="00922884"/>
    <w:rsid w:val="00922D67"/>
    <w:rsid w:val="00922DB1"/>
    <w:rsid w:val="009236F1"/>
    <w:rsid w:val="00924CE0"/>
    <w:rsid w:val="00925929"/>
    <w:rsid w:val="00925C0C"/>
    <w:rsid w:val="0092662A"/>
    <w:rsid w:val="00926EA6"/>
    <w:rsid w:val="0092792B"/>
    <w:rsid w:val="00927A9D"/>
    <w:rsid w:val="00930075"/>
    <w:rsid w:val="00930266"/>
    <w:rsid w:val="009302E5"/>
    <w:rsid w:val="009306A2"/>
    <w:rsid w:val="00930A24"/>
    <w:rsid w:val="009313C9"/>
    <w:rsid w:val="00933658"/>
    <w:rsid w:val="00933A6D"/>
    <w:rsid w:val="00933B9B"/>
    <w:rsid w:val="0093470F"/>
    <w:rsid w:val="0093481B"/>
    <w:rsid w:val="00935CD7"/>
    <w:rsid w:val="00935E49"/>
    <w:rsid w:val="00936230"/>
    <w:rsid w:val="00937232"/>
    <w:rsid w:val="0094017D"/>
    <w:rsid w:val="009401AD"/>
    <w:rsid w:val="0094108A"/>
    <w:rsid w:val="009412EC"/>
    <w:rsid w:val="00942654"/>
    <w:rsid w:val="00942908"/>
    <w:rsid w:val="00942F07"/>
    <w:rsid w:val="00943893"/>
    <w:rsid w:val="00943D5F"/>
    <w:rsid w:val="00944CF6"/>
    <w:rsid w:val="00946E7F"/>
    <w:rsid w:val="00947316"/>
    <w:rsid w:val="0094787B"/>
    <w:rsid w:val="00947883"/>
    <w:rsid w:val="0095046C"/>
    <w:rsid w:val="00950834"/>
    <w:rsid w:val="009517C9"/>
    <w:rsid w:val="00953786"/>
    <w:rsid w:val="00953E4A"/>
    <w:rsid w:val="00955BA1"/>
    <w:rsid w:val="009577FF"/>
    <w:rsid w:val="0096270C"/>
    <w:rsid w:val="009629B8"/>
    <w:rsid w:val="00963440"/>
    <w:rsid w:val="0096415E"/>
    <w:rsid w:val="00964D8A"/>
    <w:rsid w:val="0096543F"/>
    <w:rsid w:val="009671DB"/>
    <w:rsid w:val="00970DD1"/>
    <w:rsid w:val="009715A2"/>
    <w:rsid w:val="00971F36"/>
    <w:rsid w:val="00972068"/>
    <w:rsid w:val="009721C2"/>
    <w:rsid w:val="00972724"/>
    <w:rsid w:val="00973306"/>
    <w:rsid w:val="00973B69"/>
    <w:rsid w:val="00973BFB"/>
    <w:rsid w:val="0097426F"/>
    <w:rsid w:val="0097427E"/>
    <w:rsid w:val="00974742"/>
    <w:rsid w:val="00974B31"/>
    <w:rsid w:val="00974CE6"/>
    <w:rsid w:val="00976973"/>
    <w:rsid w:val="009773C5"/>
    <w:rsid w:val="00977F55"/>
    <w:rsid w:val="009814B1"/>
    <w:rsid w:val="00982397"/>
    <w:rsid w:val="009825B1"/>
    <w:rsid w:val="00983417"/>
    <w:rsid w:val="00983C8C"/>
    <w:rsid w:val="00985FA2"/>
    <w:rsid w:val="00986315"/>
    <w:rsid w:val="009869C0"/>
    <w:rsid w:val="009870CD"/>
    <w:rsid w:val="009870F3"/>
    <w:rsid w:val="00990D8F"/>
    <w:rsid w:val="00991798"/>
    <w:rsid w:val="009917E7"/>
    <w:rsid w:val="0099333D"/>
    <w:rsid w:val="009943D8"/>
    <w:rsid w:val="009962C4"/>
    <w:rsid w:val="00996477"/>
    <w:rsid w:val="00996556"/>
    <w:rsid w:val="00996B64"/>
    <w:rsid w:val="00996F9C"/>
    <w:rsid w:val="009A04E9"/>
    <w:rsid w:val="009A0960"/>
    <w:rsid w:val="009A2885"/>
    <w:rsid w:val="009A298D"/>
    <w:rsid w:val="009A29FF"/>
    <w:rsid w:val="009A2FC3"/>
    <w:rsid w:val="009A3D6B"/>
    <w:rsid w:val="009A4189"/>
    <w:rsid w:val="009A447A"/>
    <w:rsid w:val="009A4787"/>
    <w:rsid w:val="009A4A80"/>
    <w:rsid w:val="009B1EA5"/>
    <w:rsid w:val="009B2ADF"/>
    <w:rsid w:val="009B2C66"/>
    <w:rsid w:val="009B2F94"/>
    <w:rsid w:val="009B46B0"/>
    <w:rsid w:val="009B486B"/>
    <w:rsid w:val="009B49DD"/>
    <w:rsid w:val="009B51E0"/>
    <w:rsid w:val="009B555B"/>
    <w:rsid w:val="009B6465"/>
    <w:rsid w:val="009B6779"/>
    <w:rsid w:val="009B6B5F"/>
    <w:rsid w:val="009B70A8"/>
    <w:rsid w:val="009B7ABA"/>
    <w:rsid w:val="009C19AC"/>
    <w:rsid w:val="009C45A2"/>
    <w:rsid w:val="009C5189"/>
    <w:rsid w:val="009C55DA"/>
    <w:rsid w:val="009D3D61"/>
    <w:rsid w:val="009D51FD"/>
    <w:rsid w:val="009D5348"/>
    <w:rsid w:val="009D6D9E"/>
    <w:rsid w:val="009E0AD5"/>
    <w:rsid w:val="009E0CAC"/>
    <w:rsid w:val="009E19FE"/>
    <w:rsid w:val="009E2CA3"/>
    <w:rsid w:val="009E3FEC"/>
    <w:rsid w:val="009E4598"/>
    <w:rsid w:val="009E579C"/>
    <w:rsid w:val="009E6DB5"/>
    <w:rsid w:val="009E6E7B"/>
    <w:rsid w:val="009E70E5"/>
    <w:rsid w:val="009E7FE5"/>
    <w:rsid w:val="009F00BB"/>
    <w:rsid w:val="009F05B5"/>
    <w:rsid w:val="009F1033"/>
    <w:rsid w:val="009F171F"/>
    <w:rsid w:val="009F1E0F"/>
    <w:rsid w:val="009F325A"/>
    <w:rsid w:val="009F3B16"/>
    <w:rsid w:val="009F4D35"/>
    <w:rsid w:val="009F5C6B"/>
    <w:rsid w:val="009F5EF1"/>
    <w:rsid w:val="009F635A"/>
    <w:rsid w:val="009F6940"/>
    <w:rsid w:val="009F74C9"/>
    <w:rsid w:val="00A00AAB"/>
    <w:rsid w:val="00A023F6"/>
    <w:rsid w:val="00A03003"/>
    <w:rsid w:val="00A033DE"/>
    <w:rsid w:val="00A04397"/>
    <w:rsid w:val="00A04CC9"/>
    <w:rsid w:val="00A0668F"/>
    <w:rsid w:val="00A0798A"/>
    <w:rsid w:val="00A07E79"/>
    <w:rsid w:val="00A11796"/>
    <w:rsid w:val="00A11A24"/>
    <w:rsid w:val="00A1275F"/>
    <w:rsid w:val="00A12D04"/>
    <w:rsid w:val="00A14046"/>
    <w:rsid w:val="00A160F2"/>
    <w:rsid w:val="00A16572"/>
    <w:rsid w:val="00A176B8"/>
    <w:rsid w:val="00A203C5"/>
    <w:rsid w:val="00A2107F"/>
    <w:rsid w:val="00A21950"/>
    <w:rsid w:val="00A236AE"/>
    <w:rsid w:val="00A238E8"/>
    <w:rsid w:val="00A2461F"/>
    <w:rsid w:val="00A2562B"/>
    <w:rsid w:val="00A25AFE"/>
    <w:rsid w:val="00A26F7B"/>
    <w:rsid w:val="00A2725C"/>
    <w:rsid w:val="00A2769E"/>
    <w:rsid w:val="00A30683"/>
    <w:rsid w:val="00A31296"/>
    <w:rsid w:val="00A31FF7"/>
    <w:rsid w:val="00A324B1"/>
    <w:rsid w:val="00A32956"/>
    <w:rsid w:val="00A32BE6"/>
    <w:rsid w:val="00A34197"/>
    <w:rsid w:val="00A3518E"/>
    <w:rsid w:val="00A3692C"/>
    <w:rsid w:val="00A36EFC"/>
    <w:rsid w:val="00A4131E"/>
    <w:rsid w:val="00A416E5"/>
    <w:rsid w:val="00A41EA9"/>
    <w:rsid w:val="00A42273"/>
    <w:rsid w:val="00A456D4"/>
    <w:rsid w:val="00A45A9C"/>
    <w:rsid w:val="00A46B7D"/>
    <w:rsid w:val="00A46E3F"/>
    <w:rsid w:val="00A47D29"/>
    <w:rsid w:val="00A52F1F"/>
    <w:rsid w:val="00A531B8"/>
    <w:rsid w:val="00A53601"/>
    <w:rsid w:val="00A54270"/>
    <w:rsid w:val="00A54D58"/>
    <w:rsid w:val="00A56492"/>
    <w:rsid w:val="00A570B3"/>
    <w:rsid w:val="00A61429"/>
    <w:rsid w:val="00A61485"/>
    <w:rsid w:val="00A61AEE"/>
    <w:rsid w:val="00A622CA"/>
    <w:rsid w:val="00A64708"/>
    <w:rsid w:val="00A64789"/>
    <w:rsid w:val="00A64AA8"/>
    <w:rsid w:val="00A652DE"/>
    <w:rsid w:val="00A65B7A"/>
    <w:rsid w:val="00A65C3B"/>
    <w:rsid w:val="00A66318"/>
    <w:rsid w:val="00A67BBE"/>
    <w:rsid w:val="00A7033F"/>
    <w:rsid w:val="00A7125B"/>
    <w:rsid w:val="00A73099"/>
    <w:rsid w:val="00A73A77"/>
    <w:rsid w:val="00A7544B"/>
    <w:rsid w:val="00A75774"/>
    <w:rsid w:val="00A7579C"/>
    <w:rsid w:val="00A75A08"/>
    <w:rsid w:val="00A75F02"/>
    <w:rsid w:val="00A76D6A"/>
    <w:rsid w:val="00A8264F"/>
    <w:rsid w:val="00A828BF"/>
    <w:rsid w:val="00A82E81"/>
    <w:rsid w:val="00A83B18"/>
    <w:rsid w:val="00A83CB2"/>
    <w:rsid w:val="00A84145"/>
    <w:rsid w:val="00A84815"/>
    <w:rsid w:val="00A84B31"/>
    <w:rsid w:val="00A84C52"/>
    <w:rsid w:val="00A84D70"/>
    <w:rsid w:val="00A84E5B"/>
    <w:rsid w:val="00A85275"/>
    <w:rsid w:val="00A855FD"/>
    <w:rsid w:val="00A86206"/>
    <w:rsid w:val="00A86EEF"/>
    <w:rsid w:val="00A87EBF"/>
    <w:rsid w:val="00A910AC"/>
    <w:rsid w:val="00A9197B"/>
    <w:rsid w:val="00A92443"/>
    <w:rsid w:val="00A94F08"/>
    <w:rsid w:val="00A95EA9"/>
    <w:rsid w:val="00A96920"/>
    <w:rsid w:val="00A972B9"/>
    <w:rsid w:val="00A97584"/>
    <w:rsid w:val="00A97B33"/>
    <w:rsid w:val="00AA1D08"/>
    <w:rsid w:val="00AA1D8D"/>
    <w:rsid w:val="00AA20FD"/>
    <w:rsid w:val="00AA27FF"/>
    <w:rsid w:val="00AA2EDE"/>
    <w:rsid w:val="00AA4D44"/>
    <w:rsid w:val="00AA7513"/>
    <w:rsid w:val="00AA7753"/>
    <w:rsid w:val="00AA7D85"/>
    <w:rsid w:val="00AB1AB1"/>
    <w:rsid w:val="00AB1CFB"/>
    <w:rsid w:val="00AB2CF4"/>
    <w:rsid w:val="00AB521F"/>
    <w:rsid w:val="00AB5798"/>
    <w:rsid w:val="00AB598D"/>
    <w:rsid w:val="00AB6A3A"/>
    <w:rsid w:val="00AB73F7"/>
    <w:rsid w:val="00AB7A10"/>
    <w:rsid w:val="00AC020B"/>
    <w:rsid w:val="00AC1289"/>
    <w:rsid w:val="00AC1751"/>
    <w:rsid w:val="00AC190A"/>
    <w:rsid w:val="00AC1AAA"/>
    <w:rsid w:val="00AC3417"/>
    <w:rsid w:val="00AC5836"/>
    <w:rsid w:val="00AC793E"/>
    <w:rsid w:val="00AD077D"/>
    <w:rsid w:val="00AD10C0"/>
    <w:rsid w:val="00AD4B65"/>
    <w:rsid w:val="00AD4BA8"/>
    <w:rsid w:val="00AD5A73"/>
    <w:rsid w:val="00AD5DAD"/>
    <w:rsid w:val="00AD6380"/>
    <w:rsid w:val="00AD64D2"/>
    <w:rsid w:val="00AD6A1F"/>
    <w:rsid w:val="00AD6A6D"/>
    <w:rsid w:val="00AD6F92"/>
    <w:rsid w:val="00AD79F3"/>
    <w:rsid w:val="00AD7BF1"/>
    <w:rsid w:val="00AE081D"/>
    <w:rsid w:val="00AE09A7"/>
    <w:rsid w:val="00AE23F8"/>
    <w:rsid w:val="00AE38CD"/>
    <w:rsid w:val="00AE3CCF"/>
    <w:rsid w:val="00AE432E"/>
    <w:rsid w:val="00AE47B8"/>
    <w:rsid w:val="00AE4D04"/>
    <w:rsid w:val="00AE5266"/>
    <w:rsid w:val="00AE556E"/>
    <w:rsid w:val="00AE6801"/>
    <w:rsid w:val="00AE7BF7"/>
    <w:rsid w:val="00AE7CBB"/>
    <w:rsid w:val="00AF0A14"/>
    <w:rsid w:val="00AF25F4"/>
    <w:rsid w:val="00AF303D"/>
    <w:rsid w:val="00AF39CC"/>
    <w:rsid w:val="00AF3A49"/>
    <w:rsid w:val="00AF3D69"/>
    <w:rsid w:val="00AF4013"/>
    <w:rsid w:val="00AF4749"/>
    <w:rsid w:val="00AF4A35"/>
    <w:rsid w:val="00AF53AE"/>
    <w:rsid w:val="00AF5576"/>
    <w:rsid w:val="00AF5787"/>
    <w:rsid w:val="00AF5916"/>
    <w:rsid w:val="00B0166A"/>
    <w:rsid w:val="00B02640"/>
    <w:rsid w:val="00B02A51"/>
    <w:rsid w:val="00B03CBC"/>
    <w:rsid w:val="00B04ADE"/>
    <w:rsid w:val="00B04F1B"/>
    <w:rsid w:val="00B056E3"/>
    <w:rsid w:val="00B05905"/>
    <w:rsid w:val="00B06DC2"/>
    <w:rsid w:val="00B07916"/>
    <w:rsid w:val="00B07D79"/>
    <w:rsid w:val="00B10873"/>
    <w:rsid w:val="00B11218"/>
    <w:rsid w:val="00B12119"/>
    <w:rsid w:val="00B13E76"/>
    <w:rsid w:val="00B15EEF"/>
    <w:rsid w:val="00B166A1"/>
    <w:rsid w:val="00B167DC"/>
    <w:rsid w:val="00B1695F"/>
    <w:rsid w:val="00B1720F"/>
    <w:rsid w:val="00B2048B"/>
    <w:rsid w:val="00B21657"/>
    <w:rsid w:val="00B218CA"/>
    <w:rsid w:val="00B239E8"/>
    <w:rsid w:val="00B24035"/>
    <w:rsid w:val="00B24A42"/>
    <w:rsid w:val="00B260EC"/>
    <w:rsid w:val="00B2745C"/>
    <w:rsid w:val="00B3263B"/>
    <w:rsid w:val="00B33215"/>
    <w:rsid w:val="00B34623"/>
    <w:rsid w:val="00B35084"/>
    <w:rsid w:val="00B37790"/>
    <w:rsid w:val="00B37CD2"/>
    <w:rsid w:val="00B40435"/>
    <w:rsid w:val="00B4055C"/>
    <w:rsid w:val="00B406A2"/>
    <w:rsid w:val="00B41A1B"/>
    <w:rsid w:val="00B42217"/>
    <w:rsid w:val="00B42396"/>
    <w:rsid w:val="00B43153"/>
    <w:rsid w:val="00B435A6"/>
    <w:rsid w:val="00B44A24"/>
    <w:rsid w:val="00B44EE2"/>
    <w:rsid w:val="00B45AFB"/>
    <w:rsid w:val="00B45E9D"/>
    <w:rsid w:val="00B46072"/>
    <w:rsid w:val="00B46492"/>
    <w:rsid w:val="00B46777"/>
    <w:rsid w:val="00B46ED7"/>
    <w:rsid w:val="00B471F2"/>
    <w:rsid w:val="00B47675"/>
    <w:rsid w:val="00B47730"/>
    <w:rsid w:val="00B501E9"/>
    <w:rsid w:val="00B51327"/>
    <w:rsid w:val="00B514B5"/>
    <w:rsid w:val="00B51B08"/>
    <w:rsid w:val="00B52318"/>
    <w:rsid w:val="00B52BF6"/>
    <w:rsid w:val="00B53CF5"/>
    <w:rsid w:val="00B54878"/>
    <w:rsid w:val="00B54961"/>
    <w:rsid w:val="00B55440"/>
    <w:rsid w:val="00B559F9"/>
    <w:rsid w:val="00B57615"/>
    <w:rsid w:val="00B57897"/>
    <w:rsid w:val="00B57FB1"/>
    <w:rsid w:val="00B614F8"/>
    <w:rsid w:val="00B6217B"/>
    <w:rsid w:val="00B621EA"/>
    <w:rsid w:val="00B62277"/>
    <w:rsid w:val="00B623FF"/>
    <w:rsid w:val="00B62C41"/>
    <w:rsid w:val="00B6321D"/>
    <w:rsid w:val="00B64656"/>
    <w:rsid w:val="00B64AAD"/>
    <w:rsid w:val="00B64D10"/>
    <w:rsid w:val="00B664E9"/>
    <w:rsid w:val="00B671FD"/>
    <w:rsid w:val="00B6735B"/>
    <w:rsid w:val="00B67DEA"/>
    <w:rsid w:val="00B70916"/>
    <w:rsid w:val="00B70975"/>
    <w:rsid w:val="00B70F75"/>
    <w:rsid w:val="00B71423"/>
    <w:rsid w:val="00B71753"/>
    <w:rsid w:val="00B718D1"/>
    <w:rsid w:val="00B7211A"/>
    <w:rsid w:val="00B73719"/>
    <w:rsid w:val="00B737BE"/>
    <w:rsid w:val="00B73802"/>
    <w:rsid w:val="00B73BA2"/>
    <w:rsid w:val="00B73E19"/>
    <w:rsid w:val="00B73E6D"/>
    <w:rsid w:val="00B73E7B"/>
    <w:rsid w:val="00B742D4"/>
    <w:rsid w:val="00B74480"/>
    <w:rsid w:val="00B754A3"/>
    <w:rsid w:val="00B75EFA"/>
    <w:rsid w:val="00B7620F"/>
    <w:rsid w:val="00B766D7"/>
    <w:rsid w:val="00B77909"/>
    <w:rsid w:val="00B81B13"/>
    <w:rsid w:val="00B81BBE"/>
    <w:rsid w:val="00B8249C"/>
    <w:rsid w:val="00B8315B"/>
    <w:rsid w:val="00B85E74"/>
    <w:rsid w:val="00B90B88"/>
    <w:rsid w:val="00B922E7"/>
    <w:rsid w:val="00B92325"/>
    <w:rsid w:val="00B926E6"/>
    <w:rsid w:val="00B92CA1"/>
    <w:rsid w:val="00B9346B"/>
    <w:rsid w:val="00B93C8F"/>
    <w:rsid w:val="00B93D93"/>
    <w:rsid w:val="00B9436F"/>
    <w:rsid w:val="00B94B5C"/>
    <w:rsid w:val="00B94F02"/>
    <w:rsid w:val="00B95963"/>
    <w:rsid w:val="00B95BAD"/>
    <w:rsid w:val="00B95BFD"/>
    <w:rsid w:val="00B95D5E"/>
    <w:rsid w:val="00B960BD"/>
    <w:rsid w:val="00B97998"/>
    <w:rsid w:val="00B97F38"/>
    <w:rsid w:val="00BA03F0"/>
    <w:rsid w:val="00BA1198"/>
    <w:rsid w:val="00BA1283"/>
    <w:rsid w:val="00BA1B6C"/>
    <w:rsid w:val="00BA1C52"/>
    <w:rsid w:val="00BA226D"/>
    <w:rsid w:val="00BA25D4"/>
    <w:rsid w:val="00BA32DF"/>
    <w:rsid w:val="00BA338B"/>
    <w:rsid w:val="00BA3AF5"/>
    <w:rsid w:val="00BA3B50"/>
    <w:rsid w:val="00BA3C1B"/>
    <w:rsid w:val="00BA404F"/>
    <w:rsid w:val="00BA461D"/>
    <w:rsid w:val="00BA46A0"/>
    <w:rsid w:val="00BA4E5B"/>
    <w:rsid w:val="00BA60D7"/>
    <w:rsid w:val="00BA6786"/>
    <w:rsid w:val="00BA784C"/>
    <w:rsid w:val="00BB0BFB"/>
    <w:rsid w:val="00BB1183"/>
    <w:rsid w:val="00BB13F3"/>
    <w:rsid w:val="00BB1591"/>
    <w:rsid w:val="00BB2026"/>
    <w:rsid w:val="00BB28FF"/>
    <w:rsid w:val="00BB2AED"/>
    <w:rsid w:val="00BB2EFF"/>
    <w:rsid w:val="00BB60BA"/>
    <w:rsid w:val="00BB659F"/>
    <w:rsid w:val="00BC01DA"/>
    <w:rsid w:val="00BC0E32"/>
    <w:rsid w:val="00BC1757"/>
    <w:rsid w:val="00BC1832"/>
    <w:rsid w:val="00BC1D1E"/>
    <w:rsid w:val="00BC2D9E"/>
    <w:rsid w:val="00BC3BFE"/>
    <w:rsid w:val="00BC46D5"/>
    <w:rsid w:val="00BC4CC5"/>
    <w:rsid w:val="00BC500B"/>
    <w:rsid w:val="00BC5615"/>
    <w:rsid w:val="00BC5868"/>
    <w:rsid w:val="00BC587B"/>
    <w:rsid w:val="00BC6282"/>
    <w:rsid w:val="00BC6510"/>
    <w:rsid w:val="00BC66D5"/>
    <w:rsid w:val="00BC6ACE"/>
    <w:rsid w:val="00BC7147"/>
    <w:rsid w:val="00BC78CD"/>
    <w:rsid w:val="00BC793D"/>
    <w:rsid w:val="00BD169F"/>
    <w:rsid w:val="00BD1FCD"/>
    <w:rsid w:val="00BD25C0"/>
    <w:rsid w:val="00BD2ABF"/>
    <w:rsid w:val="00BD2CC4"/>
    <w:rsid w:val="00BD312B"/>
    <w:rsid w:val="00BD3EB7"/>
    <w:rsid w:val="00BD47CB"/>
    <w:rsid w:val="00BD4EC8"/>
    <w:rsid w:val="00BD4F04"/>
    <w:rsid w:val="00BD61A3"/>
    <w:rsid w:val="00BD6D4B"/>
    <w:rsid w:val="00BD6E4E"/>
    <w:rsid w:val="00BD734C"/>
    <w:rsid w:val="00BD7B26"/>
    <w:rsid w:val="00BD7DCA"/>
    <w:rsid w:val="00BD7EA3"/>
    <w:rsid w:val="00BE05F1"/>
    <w:rsid w:val="00BE08F6"/>
    <w:rsid w:val="00BE0A7F"/>
    <w:rsid w:val="00BE1773"/>
    <w:rsid w:val="00BE347A"/>
    <w:rsid w:val="00BE3856"/>
    <w:rsid w:val="00BE3AE5"/>
    <w:rsid w:val="00BE3BBD"/>
    <w:rsid w:val="00BE40FD"/>
    <w:rsid w:val="00BE4CFC"/>
    <w:rsid w:val="00BE5FFF"/>
    <w:rsid w:val="00BE6256"/>
    <w:rsid w:val="00BE6B2A"/>
    <w:rsid w:val="00BF0292"/>
    <w:rsid w:val="00BF02DA"/>
    <w:rsid w:val="00BF03DC"/>
    <w:rsid w:val="00BF230E"/>
    <w:rsid w:val="00BF282A"/>
    <w:rsid w:val="00BF2A73"/>
    <w:rsid w:val="00BF3024"/>
    <w:rsid w:val="00BF30C4"/>
    <w:rsid w:val="00BF35A1"/>
    <w:rsid w:val="00BF35E6"/>
    <w:rsid w:val="00BF3605"/>
    <w:rsid w:val="00BF3D96"/>
    <w:rsid w:val="00BF3DA5"/>
    <w:rsid w:val="00BF4A7A"/>
    <w:rsid w:val="00BF4B36"/>
    <w:rsid w:val="00BF53ED"/>
    <w:rsid w:val="00BF5870"/>
    <w:rsid w:val="00BF65BF"/>
    <w:rsid w:val="00BF77C8"/>
    <w:rsid w:val="00C0048E"/>
    <w:rsid w:val="00C015FC"/>
    <w:rsid w:val="00C01674"/>
    <w:rsid w:val="00C02966"/>
    <w:rsid w:val="00C0377D"/>
    <w:rsid w:val="00C0543F"/>
    <w:rsid w:val="00C06138"/>
    <w:rsid w:val="00C073C1"/>
    <w:rsid w:val="00C1102D"/>
    <w:rsid w:val="00C114AE"/>
    <w:rsid w:val="00C118CD"/>
    <w:rsid w:val="00C11981"/>
    <w:rsid w:val="00C119F4"/>
    <w:rsid w:val="00C11D01"/>
    <w:rsid w:val="00C1218D"/>
    <w:rsid w:val="00C12230"/>
    <w:rsid w:val="00C12BFB"/>
    <w:rsid w:val="00C145DE"/>
    <w:rsid w:val="00C15F6D"/>
    <w:rsid w:val="00C16210"/>
    <w:rsid w:val="00C16335"/>
    <w:rsid w:val="00C16727"/>
    <w:rsid w:val="00C1687B"/>
    <w:rsid w:val="00C20D69"/>
    <w:rsid w:val="00C23520"/>
    <w:rsid w:val="00C23807"/>
    <w:rsid w:val="00C2399D"/>
    <w:rsid w:val="00C23BDB"/>
    <w:rsid w:val="00C251B7"/>
    <w:rsid w:val="00C26478"/>
    <w:rsid w:val="00C266BF"/>
    <w:rsid w:val="00C26948"/>
    <w:rsid w:val="00C27F4F"/>
    <w:rsid w:val="00C313F1"/>
    <w:rsid w:val="00C32306"/>
    <w:rsid w:val="00C33C45"/>
    <w:rsid w:val="00C34F94"/>
    <w:rsid w:val="00C35AD2"/>
    <w:rsid w:val="00C368F7"/>
    <w:rsid w:val="00C37F3A"/>
    <w:rsid w:val="00C40A43"/>
    <w:rsid w:val="00C4103E"/>
    <w:rsid w:val="00C41CC7"/>
    <w:rsid w:val="00C4238B"/>
    <w:rsid w:val="00C433D7"/>
    <w:rsid w:val="00C43A0F"/>
    <w:rsid w:val="00C44800"/>
    <w:rsid w:val="00C44B9D"/>
    <w:rsid w:val="00C44E05"/>
    <w:rsid w:val="00C4537F"/>
    <w:rsid w:val="00C45E31"/>
    <w:rsid w:val="00C47BD7"/>
    <w:rsid w:val="00C509EE"/>
    <w:rsid w:val="00C51914"/>
    <w:rsid w:val="00C51934"/>
    <w:rsid w:val="00C51CAF"/>
    <w:rsid w:val="00C52150"/>
    <w:rsid w:val="00C5340F"/>
    <w:rsid w:val="00C53A9A"/>
    <w:rsid w:val="00C53B02"/>
    <w:rsid w:val="00C555C8"/>
    <w:rsid w:val="00C56158"/>
    <w:rsid w:val="00C566E0"/>
    <w:rsid w:val="00C56B8F"/>
    <w:rsid w:val="00C56D50"/>
    <w:rsid w:val="00C57FB4"/>
    <w:rsid w:val="00C60104"/>
    <w:rsid w:val="00C6103F"/>
    <w:rsid w:val="00C61A93"/>
    <w:rsid w:val="00C635B5"/>
    <w:rsid w:val="00C63EFE"/>
    <w:rsid w:val="00C64B8C"/>
    <w:rsid w:val="00C64B90"/>
    <w:rsid w:val="00C66648"/>
    <w:rsid w:val="00C674D6"/>
    <w:rsid w:val="00C67590"/>
    <w:rsid w:val="00C678C8"/>
    <w:rsid w:val="00C67F2A"/>
    <w:rsid w:val="00C71278"/>
    <w:rsid w:val="00C72EB7"/>
    <w:rsid w:val="00C736AA"/>
    <w:rsid w:val="00C73711"/>
    <w:rsid w:val="00C74071"/>
    <w:rsid w:val="00C75B61"/>
    <w:rsid w:val="00C76587"/>
    <w:rsid w:val="00C76696"/>
    <w:rsid w:val="00C76ED8"/>
    <w:rsid w:val="00C76FC6"/>
    <w:rsid w:val="00C77AF6"/>
    <w:rsid w:val="00C80B57"/>
    <w:rsid w:val="00C814D8"/>
    <w:rsid w:val="00C81524"/>
    <w:rsid w:val="00C822E3"/>
    <w:rsid w:val="00C83E6D"/>
    <w:rsid w:val="00C852AF"/>
    <w:rsid w:val="00C85D86"/>
    <w:rsid w:val="00C85FEC"/>
    <w:rsid w:val="00C86C0C"/>
    <w:rsid w:val="00C90604"/>
    <w:rsid w:val="00C90A6D"/>
    <w:rsid w:val="00C9180D"/>
    <w:rsid w:val="00C91BAE"/>
    <w:rsid w:val="00C91BFF"/>
    <w:rsid w:val="00C91D2C"/>
    <w:rsid w:val="00C91D3D"/>
    <w:rsid w:val="00C921C1"/>
    <w:rsid w:val="00C9265E"/>
    <w:rsid w:val="00C93D25"/>
    <w:rsid w:val="00C946AD"/>
    <w:rsid w:val="00C94A30"/>
    <w:rsid w:val="00C94B48"/>
    <w:rsid w:val="00C94CBC"/>
    <w:rsid w:val="00C94EDA"/>
    <w:rsid w:val="00C96078"/>
    <w:rsid w:val="00C9722B"/>
    <w:rsid w:val="00C978BC"/>
    <w:rsid w:val="00C97D27"/>
    <w:rsid w:val="00CA1F94"/>
    <w:rsid w:val="00CA5EF5"/>
    <w:rsid w:val="00CA77B9"/>
    <w:rsid w:val="00CB0664"/>
    <w:rsid w:val="00CB07C9"/>
    <w:rsid w:val="00CB0963"/>
    <w:rsid w:val="00CB23E1"/>
    <w:rsid w:val="00CB2B82"/>
    <w:rsid w:val="00CB2BC2"/>
    <w:rsid w:val="00CB319C"/>
    <w:rsid w:val="00CB333A"/>
    <w:rsid w:val="00CB3DE1"/>
    <w:rsid w:val="00CB496A"/>
    <w:rsid w:val="00CB4E99"/>
    <w:rsid w:val="00CB5C46"/>
    <w:rsid w:val="00CB5F56"/>
    <w:rsid w:val="00CB5FE8"/>
    <w:rsid w:val="00CB7EF2"/>
    <w:rsid w:val="00CC02FE"/>
    <w:rsid w:val="00CC03DB"/>
    <w:rsid w:val="00CC1769"/>
    <w:rsid w:val="00CC18CC"/>
    <w:rsid w:val="00CC19C4"/>
    <w:rsid w:val="00CC1E2C"/>
    <w:rsid w:val="00CC3038"/>
    <w:rsid w:val="00CC30A4"/>
    <w:rsid w:val="00CC311B"/>
    <w:rsid w:val="00CC42A2"/>
    <w:rsid w:val="00CC46E0"/>
    <w:rsid w:val="00CC623C"/>
    <w:rsid w:val="00CD109E"/>
    <w:rsid w:val="00CD14AC"/>
    <w:rsid w:val="00CD243D"/>
    <w:rsid w:val="00CD2716"/>
    <w:rsid w:val="00CD40A9"/>
    <w:rsid w:val="00CD6913"/>
    <w:rsid w:val="00CE0BE8"/>
    <w:rsid w:val="00CE1B8E"/>
    <w:rsid w:val="00CE2259"/>
    <w:rsid w:val="00CE261E"/>
    <w:rsid w:val="00CE2661"/>
    <w:rsid w:val="00CE32BC"/>
    <w:rsid w:val="00CE53BC"/>
    <w:rsid w:val="00CE58CD"/>
    <w:rsid w:val="00CE7822"/>
    <w:rsid w:val="00CF00FF"/>
    <w:rsid w:val="00CF1CC1"/>
    <w:rsid w:val="00CF2281"/>
    <w:rsid w:val="00CF2738"/>
    <w:rsid w:val="00CF2AB9"/>
    <w:rsid w:val="00CF4371"/>
    <w:rsid w:val="00CF43D4"/>
    <w:rsid w:val="00CF4F3B"/>
    <w:rsid w:val="00CF5849"/>
    <w:rsid w:val="00CF6317"/>
    <w:rsid w:val="00CF6326"/>
    <w:rsid w:val="00CF6D07"/>
    <w:rsid w:val="00CF6F99"/>
    <w:rsid w:val="00CF72BA"/>
    <w:rsid w:val="00D00794"/>
    <w:rsid w:val="00D00C12"/>
    <w:rsid w:val="00D011DA"/>
    <w:rsid w:val="00D01F6F"/>
    <w:rsid w:val="00D02B00"/>
    <w:rsid w:val="00D02D97"/>
    <w:rsid w:val="00D0331C"/>
    <w:rsid w:val="00D0346F"/>
    <w:rsid w:val="00D036EF"/>
    <w:rsid w:val="00D04081"/>
    <w:rsid w:val="00D043C9"/>
    <w:rsid w:val="00D05CDF"/>
    <w:rsid w:val="00D05D15"/>
    <w:rsid w:val="00D06FCF"/>
    <w:rsid w:val="00D074AD"/>
    <w:rsid w:val="00D07604"/>
    <w:rsid w:val="00D1050C"/>
    <w:rsid w:val="00D10642"/>
    <w:rsid w:val="00D107A0"/>
    <w:rsid w:val="00D11BB2"/>
    <w:rsid w:val="00D1309E"/>
    <w:rsid w:val="00D13F3D"/>
    <w:rsid w:val="00D143F0"/>
    <w:rsid w:val="00D14807"/>
    <w:rsid w:val="00D157F6"/>
    <w:rsid w:val="00D15D02"/>
    <w:rsid w:val="00D16524"/>
    <w:rsid w:val="00D16713"/>
    <w:rsid w:val="00D1740E"/>
    <w:rsid w:val="00D17874"/>
    <w:rsid w:val="00D2035A"/>
    <w:rsid w:val="00D20CE6"/>
    <w:rsid w:val="00D214C3"/>
    <w:rsid w:val="00D22DE5"/>
    <w:rsid w:val="00D23BAA"/>
    <w:rsid w:val="00D23CAA"/>
    <w:rsid w:val="00D24C8E"/>
    <w:rsid w:val="00D272B3"/>
    <w:rsid w:val="00D279FF"/>
    <w:rsid w:val="00D30BEB"/>
    <w:rsid w:val="00D30DA9"/>
    <w:rsid w:val="00D30FEE"/>
    <w:rsid w:val="00D3153E"/>
    <w:rsid w:val="00D32375"/>
    <w:rsid w:val="00D328AB"/>
    <w:rsid w:val="00D34117"/>
    <w:rsid w:val="00D3414A"/>
    <w:rsid w:val="00D357CD"/>
    <w:rsid w:val="00D367AB"/>
    <w:rsid w:val="00D36F29"/>
    <w:rsid w:val="00D37073"/>
    <w:rsid w:val="00D408B5"/>
    <w:rsid w:val="00D42526"/>
    <w:rsid w:val="00D42828"/>
    <w:rsid w:val="00D435E3"/>
    <w:rsid w:val="00D43D52"/>
    <w:rsid w:val="00D4429B"/>
    <w:rsid w:val="00D452D6"/>
    <w:rsid w:val="00D45397"/>
    <w:rsid w:val="00D4546B"/>
    <w:rsid w:val="00D458EE"/>
    <w:rsid w:val="00D51A69"/>
    <w:rsid w:val="00D51B4A"/>
    <w:rsid w:val="00D51B87"/>
    <w:rsid w:val="00D51C07"/>
    <w:rsid w:val="00D51DB4"/>
    <w:rsid w:val="00D5202B"/>
    <w:rsid w:val="00D55A42"/>
    <w:rsid w:val="00D55A9F"/>
    <w:rsid w:val="00D55D99"/>
    <w:rsid w:val="00D57730"/>
    <w:rsid w:val="00D57EB5"/>
    <w:rsid w:val="00D60013"/>
    <w:rsid w:val="00D6095B"/>
    <w:rsid w:val="00D6146B"/>
    <w:rsid w:val="00D61CF3"/>
    <w:rsid w:val="00D62237"/>
    <w:rsid w:val="00D6334F"/>
    <w:rsid w:val="00D6440A"/>
    <w:rsid w:val="00D66948"/>
    <w:rsid w:val="00D66D62"/>
    <w:rsid w:val="00D70616"/>
    <w:rsid w:val="00D722D3"/>
    <w:rsid w:val="00D72772"/>
    <w:rsid w:val="00D72AEB"/>
    <w:rsid w:val="00D73A83"/>
    <w:rsid w:val="00D746E6"/>
    <w:rsid w:val="00D75876"/>
    <w:rsid w:val="00D765FD"/>
    <w:rsid w:val="00D76920"/>
    <w:rsid w:val="00D778A1"/>
    <w:rsid w:val="00D77972"/>
    <w:rsid w:val="00D80B16"/>
    <w:rsid w:val="00D8173B"/>
    <w:rsid w:val="00D82FC3"/>
    <w:rsid w:val="00D834CA"/>
    <w:rsid w:val="00D859EF"/>
    <w:rsid w:val="00D85C34"/>
    <w:rsid w:val="00D86A6F"/>
    <w:rsid w:val="00D870B5"/>
    <w:rsid w:val="00D87133"/>
    <w:rsid w:val="00D90C94"/>
    <w:rsid w:val="00D91AC6"/>
    <w:rsid w:val="00D91B49"/>
    <w:rsid w:val="00D930C2"/>
    <w:rsid w:val="00D94094"/>
    <w:rsid w:val="00D94786"/>
    <w:rsid w:val="00D954F8"/>
    <w:rsid w:val="00D959D4"/>
    <w:rsid w:val="00D97B57"/>
    <w:rsid w:val="00DA04A4"/>
    <w:rsid w:val="00DA075B"/>
    <w:rsid w:val="00DA1E68"/>
    <w:rsid w:val="00DA24A6"/>
    <w:rsid w:val="00DA3397"/>
    <w:rsid w:val="00DA4338"/>
    <w:rsid w:val="00DA48F5"/>
    <w:rsid w:val="00DA5F9C"/>
    <w:rsid w:val="00DA69D6"/>
    <w:rsid w:val="00DA7183"/>
    <w:rsid w:val="00DA7356"/>
    <w:rsid w:val="00DB16E1"/>
    <w:rsid w:val="00DB1B0C"/>
    <w:rsid w:val="00DB1FE7"/>
    <w:rsid w:val="00DB21A9"/>
    <w:rsid w:val="00DB3001"/>
    <w:rsid w:val="00DB3766"/>
    <w:rsid w:val="00DB3E37"/>
    <w:rsid w:val="00DB4C1C"/>
    <w:rsid w:val="00DB4E14"/>
    <w:rsid w:val="00DB5814"/>
    <w:rsid w:val="00DB5FC6"/>
    <w:rsid w:val="00DB6295"/>
    <w:rsid w:val="00DB7426"/>
    <w:rsid w:val="00DB7AAA"/>
    <w:rsid w:val="00DB7EF1"/>
    <w:rsid w:val="00DC2402"/>
    <w:rsid w:val="00DC3D32"/>
    <w:rsid w:val="00DC4060"/>
    <w:rsid w:val="00DC415D"/>
    <w:rsid w:val="00DC6D54"/>
    <w:rsid w:val="00DD07AB"/>
    <w:rsid w:val="00DD07C8"/>
    <w:rsid w:val="00DD134D"/>
    <w:rsid w:val="00DD2213"/>
    <w:rsid w:val="00DD296C"/>
    <w:rsid w:val="00DD2F51"/>
    <w:rsid w:val="00DD4E65"/>
    <w:rsid w:val="00DD620D"/>
    <w:rsid w:val="00DD6DD9"/>
    <w:rsid w:val="00DD703C"/>
    <w:rsid w:val="00DD73A3"/>
    <w:rsid w:val="00DD7827"/>
    <w:rsid w:val="00DD7B2E"/>
    <w:rsid w:val="00DD7B78"/>
    <w:rsid w:val="00DE004B"/>
    <w:rsid w:val="00DE061A"/>
    <w:rsid w:val="00DE0D13"/>
    <w:rsid w:val="00DE235E"/>
    <w:rsid w:val="00DE2B1E"/>
    <w:rsid w:val="00DE3C00"/>
    <w:rsid w:val="00DE72C7"/>
    <w:rsid w:val="00DE7552"/>
    <w:rsid w:val="00DE7AC6"/>
    <w:rsid w:val="00DF19A1"/>
    <w:rsid w:val="00DF2788"/>
    <w:rsid w:val="00DF2E43"/>
    <w:rsid w:val="00DF3CB8"/>
    <w:rsid w:val="00DF42B4"/>
    <w:rsid w:val="00DF5879"/>
    <w:rsid w:val="00DF6577"/>
    <w:rsid w:val="00DF67E9"/>
    <w:rsid w:val="00DF6F64"/>
    <w:rsid w:val="00DF7021"/>
    <w:rsid w:val="00DF7580"/>
    <w:rsid w:val="00DF7EE2"/>
    <w:rsid w:val="00E0142A"/>
    <w:rsid w:val="00E019DE"/>
    <w:rsid w:val="00E01FA9"/>
    <w:rsid w:val="00E02311"/>
    <w:rsid w:val="00E03491"/>
    <w:rsid w:val="00E03684"/>
    <w:rsid w:val="00E04AE3"/>
    <w:rsid w:val="00E06689"/>
    <w:rsid w:val="00E07ABD"/>
    <w:rsid w:val="00E07C65"/>
    <w:rsid w:val="00E1096B"/>
    <w:rsid w:val="00E11B5A"/>
    <w:rsid w:val="00E12F88"/>
    <w:rsid w:val="00E13EFD"/>
    <w:rsid w:val="00E143EE"/>
    <w:rsid w:val="00E145C5"/>
    <w:rsid w:val="00E158F4"/>
    <w:rsid w:val="00E15AB0"/>
    <w:rsid w:val="00E15F0E"/>
    <w:rsid w:val="00E163F8"/>
    <w:rsid w:val="00E171ED"/>
    <w:rsid w:val="00E17940"/>
    <w:rsid w:val="00E236CC"/>
    <w:rsid w:val="00E243A8"/>
    <w:rsid w:val="00E32BB5"/>
    <w:rsid w:val="00E358B6"/>
    <w:rsid w:val="00E35BD0"/>
    <w:rsid w:val="00E36069"/>
    <w:rsid w:val="00E36A5C"/>
    <w:rsid w:val="00E370F9"/>
    <w:rsid w:val="00E37296"/>
    <w:rsid w:val="00E37BD2"/>
    <w:rsid w:val="00E408EE"/>
    <w:rsid w:val="00E40FAE"/>
    <w:rsid w:val="00E4304F"/>
    <w:rsid w:val="00E43274"/>
    <w:rsid w:val="00E434CC"/>
    <w:rsid w:val="00E43A88"/>
    <w:rsid w:val="00E43F09"/>
    <w:rsid w:val="00E457E1"/>
    <w:rsid w:val="00E462CE"/>
    <w:rsid w:val="00E46A98"/>
    <w:rsid w:val="00E46AA0"/>
    <w:rsid w:val="00E46E2F"/>
    <w:rsid w:val="00E4752D"/>
    <w:rsid w:val="00E51258"/>
    <w:rsid w:val="00E52978"/>
    <w:rsid w:val="00E52AEC"/>
    <w:rsid w:val="00E52EF2"/>
    <w:rsid w:val="00E543F3"/>
    <w:rsid w:val="00E54C52"/>
    <w:rsid w:val="00E550E1"/>
    <w:rsid w:val="00E552C0"/>
    <w:rsid w:val="00E557E0"/>
    <w:rsid w:val="00E55A37"/>
    <w:rsid w:val="00E55B26"/>
    <w:rsid w:val="00E55D50"/>
    <w:rsid w:val="00E5618F"/>
    <w:rsid w:val="00E56B80"/>
    <w:rsid w:val="00E5797A"/>
    <w:rsid w:val="00E6056A"/>
    <w:rsid w:val="00E609E1"/>
    <w:rsid w:val="00E6180A"/>
    <w:rsid w:val="00E6271A"/>
    <w:rsid w:val="00E63AB5"/>
    <w:rsid w:val="00E63C82"/>
    <w:rsid w:val="00E64CE0"/>
    <w:rsid w:val="00E6525C"/>
    <w:rsid w:val="00E66AA2"/>
    <w:rsid w:val="00E67290"/>
    <w:rsid w:val="00E675A4"/>
    <w:rsid w:val="00E70049"/>
    <w:rsid w:val="00E70B61"/>
    <w:rsid w:val="00E7145B"/>
    <w:rsid w:val="00E72358"/>
    <w:rsid w:val="00E723CD"/>
    <w:rsid w:val="00E723F8"/>
    <w:rsid w:val="00E72478"/>
    <w:rsid w:val="00E72AD2"/>
    <w:rsid w:val="00E73919"/>
    <w:rsid w:val="00E74145"/>
    <w:rsid w:val="00E744B9"/>
    <w:rsid w:val="00E76E2A"/>
    <w:rsid w:val="00E80081"/>
    <w:rsid w:val="00E806F9"/>
    <w:rsid w:val="00E81D04"/>
    <w:rsid w:val="00E82331"/>
    <w:rsid w:val="00E82868"/>
    <w:rsid w:val="00E82EFE"/>
    <w:rsid w:val="00E82F22"/>
    <w:rsid w:val="00E8314D"/>
    <w:rsid w:val="00E83FF3"/>
    <w:rsid w:val="00E84E9B"/>
    <w:rsid w:val="00E8597C"/>
    <w:rsid w:val="00E85F07"/>
    <w:rsid w:val="00E865A9"/>
    <w:rsid w:val="00E86A50"/>
    <w:rsid w:val="00E90323"/>
    <w:rsid w:val="00E90D62"/>
    <w:rsid w:val="00E910E3"/>
    <w:rsid w:val="00E913CF"/>
    <w:rsid w:val="00E92B1D"/>
    <w:rsid w:val="00E9329F"/>
    <w:rsid w:val="00E94F15"/>
    <w:rsid w:val="00E97854"/>
    <w:rsid w:val="00E97A55"/>
    <w:rsid w:val="00EA1275"/>
    <w:rsid w:val="00EA1B29"/>
    <w:rsid w:val="00EA214C"/>
    <w:rsid w:val="00EA2605"/>
    <w:rsid w:val="00EA4A21"/>
    <w:rsid w:val="00EA5190"/>
    <w:rsid w:val="00EA53B3"/>
    <w:rsid w:val="00EA6600"/>
    <w:rsid w:val="00EA7AE2"/>
    <w:rsid w:val="00EB081B"/>
    <w:rsid w:val="00EB17F4"/>
    <w:rsid w:val="00EB1B1F"/>
    <w:rsid w:val="00EB1C7C"/>
    <w:rsid w:val="00EB1E0F"/>
    <w:rsid w:val="00EB25FB"/>
    <w:rsid w:val="00EB2FA4"/>
    <w:rsid w:val="00EB364E"/>
    <w:rsid w:val="00EB3F85"/>
    <w:rsid w:val="00EB46DD"/>
    <w:rsid w:val="00EB4874"/>
    <w:rsid w:val="00EB4D85"/>
    <w:rsid w:val="00EB6450"/>
    <w:rsid w:val="00EB7461"/>
    <w:rsid w:val="00EC0775"/>
    <w:rsid w:val="00EC0E4C"/>
    <w:rsid w:val="00EC0EAA"/>
    <w:rsid w:val="00EC10DF"/>
    <w:rsid w:val="00EC19CA"/>
    <w:rsid w:val="00EC35CD"/>
    <w:rsid w:val="00EC36CD"/>
    <w:rsid w:val="00EC49C2"/>
    <w:rsid w:val="00EC4E7F"/>
    <w:rsid w:val="00EC4EC8"/>
    <w:rsid w:val="00EC532C"/>
    <w:rsid w:val="00EC7D78"/>
    <w:rsid w:val="00ED04A6"/>
    <w:rsid w:val="00ED05DB"/>
    <w:rsid w:val="00ED101C"/>
    <w:rsid w:val="00ED112E"/>
    <w:rsid w:val="00ED1F1E"/>
    <w:rsid w:val="00ED1F29"/>
    <w:rsid w:val="00ED29E9"/>
    <w:rsid w:val="00ED2C40"/>
    <w:rsid w:val="00ED37E9"/>
    <w:rsid w:val="00ED3E03"/>
    <w:rsid w:val="00ED50E3"/>
    <w:rsid w:val="00ED63A5"/>
    <w:rsid w:val="00ED6792"/>
    <w:rsid w:val="00ED68E2"/>
    <w:rsid w:val="00ED6AC7"/>
    <w:rsid w:val="00ED6BF8"/>
    <w:rsid w:val="00ED6FED"/>
    <w:rsid w:val="00ED71A9"/>
    <w:rsid w:val="00ED7312"/>
    <w:rsid w:val="00EE09DA"/>
    <w:rsid w:val="00EE0B0A"/>
    <w:rsid w:val="00EE2985"/>
    <w:rsid w:val="00EE3597"/>
    <w:rsid w:val="00EE36C8"/>
    <w:rsid w:val="00EE445E"/>
    <w:rsid w:val="00EE44A8"/>
    <w:rsid w:val="00EE4B3F"/>
    <w:rsid w:val="00EE4DF9"/>
    <w:rsid w:val="00EE71A7"/>
    <w:rsid w:val="00EF0639"/>
    <w:rsid w:val="00EF0683"/>
    <w:rsid w:val="00EF1122"/>
    <w:rsid w:val="00EF11B5"/>
    <w:rsid w:val="00EF17A7"/>
    <w:rsid w:val="00EF1BFB"/>
    <w:rsid w:val="00EF2ADC"/>
    <w:rsid w:val="00EF4DDC"/>
    <w:rsid w:val="00EF503D"/>
    <w:rsid w:val="00EF5C17"/>
    <w:rsid w:val="00EF617C"/>
    <w:rsid w:val="00EF7119"/>
    <w:rsid w:val="00F004CE"/>
    <w:rsid w:val="00F00C3D"/>
    <w:rsid w:val="00F00D85"/>
    <w:rsid w:val="00F01D48"/>
    <w:rsid w:val="00F02147"/>
    <w:rsid w:val="00F02B0C"/>
    <w:rsid w:val="00F02F7D"/>
    <w:rsid w:val="00F03867"/>
    <w:rsid w:val="00F04A19"/>
    <w:rsid w:val="00F06213"/>
    <w:rsid w:val="00F072E1"/>
    <w:rsid w:val="00F10EA0"/>
    <w:rsid w:val="00F11667"/>
    <w:rsid w:val="00F11E00"/>
    <w:rsid w:val="00F1216D"/>
    <w:rsid w:val="00F121A1"/>
    <w:rsid w:val="00F12396"/>
    <w:rsid w:val="00F13097"/>
    <w:rsid w:val="00F13448"/>
    <w:rsid w:val="00F14059"/>
    <w:rsid w:val="00F14D38"/>
    <w:rsid w:val="00F15CA0"/>
    <w:rsid w:val="00F16081"/>
    <w:rsid w:val="00F1620B"/>
    <w:rsid w:val="00F1654B"/>
    <w:rsid w:val="00F209A9"/>
    <w:rsid w:val="00F21058"/>
    <w:rsid w:val="00F2128C"/>
    <w:rsid w:val="00F21E6C"/>
    <w:rsid w:val="00F21F6B"/>
    <w:rsid w:val="00F2214A"/>
    <w:rsid w:val="00F22694"/>
    <w:rsid w:val="00F2316C"/>
    <w:rsid w:val="00F24093"/>
    <w:rsid w:val="00F2412C"/>
    <w:rsid w:val="00F2798E"/>
    <w:rsid w:val="00F30154"/>
    <w:rsid w:val="00F30199"/>
    <w:rsid w:val="00F301F7"/>
    <w:rsid w:val="00F327D1"/>
    <w:rsid w:val="00F33213"/>
    <w:rsid w:val="00F339B6"/>
    <w:rsid w:val="00F34727"/>
    <w:rsid w:val="00F35B74"/>
    <w:rsid w:val="00F35C43"/>
    <w:rsid w:val="00F37C7A"/>
    <w:rsid w:val="00F403F8"/>
    <w:rsid w:val="00F4285A"/>
    <w:rsid w:val="00F4291B"/>
    <w:rsid w:val="00F42F19"/>
    <w:rsid w:val="00F43716"/>
    <w:rsid w:val="00F449C2"/>
    <w:rsid w:val="00F44D44"/>
    <w:rsid w:val="00F45E07"/>
    <w:rsid w:val="00F47226"/>
    <w:rsid w:val="00F47AD6"/>
    <w:rsid w:val="00F526D6"/>
    <w:rsid w:val="00F52AEA"/>
    <w:rsid w:val="00F52BE2"/>
    <w:rsid w:val="00F532D7"/>
    <w:rsid w:val="00F53EFE"/>
    <w:rsid w:val="00F54799"/>
    <w:rsid w:val="00F5490F"/>
    <w:rsid w:val="00F55257"/>
    <w:rsid w:val="00F56A55"/>
    <w:rsid w:val="00F56D88"/>
    <w:rsid w:val="00F610F3"/>
    <w:rsid w:val="00F61BF3"/>
    <w:rsid w:val="00F62142"/>
    <w:rsid w:val="00F62908"/>
    <w:rsid w:val="00F62E7B"/>
    <w:rsid w:val="00F64CE6"/>
    <w:rsid w:val="00F65B1D"/>
    <w:rsid w:val="00F66E4C"/>
    <w:rsid w:val="00F67024"/>
    <w:rsid w:val="00F670CE"/>
    <w:rsid w:val="00F67930"/>
    <w:rsid w:val="00F70284"/>
    <w:rsid w:val="00F70976"/>
    <w:rsid w:val="00F717DA"/>
    <w:rsid w:val="00F724E2"/>
    <w:rsid w:val="00F72BEB"/>
    <w:rsid w:val="00F72DBA"/>
    <w:rsid w:val="00F73B2E"/>
    <w:rsid w:val="00F73C5F"/>
    <w:rsid w:val="00F74890"/>
    <w:rsid w:val="00F74898"/>
    <w:rsid w:val="00F74D6A"/>
    <w:rsid w:val="00F74FDF"/>
    <w:rsid w:val="00F774AE"/>
    <w:rsid w:val="00F83645"/>
    <w:rsid w:val="00F84A09"/>
    <w:rsid w:val="00F856E4"/>
    <w:rsid w:val="00F85B9A"/>
    <w:rsid w:val="00F85D58"/>
    <w:rsid w:val="00F85DF7"/>
    <w:rsid w:val="00F86389"/>
    <w:rsid w:val="00F86808"/>
    <w:rsid w:val="00F87BEE"/>
    <w:rsid w:val="00F910E5"/>
    <w:rsid w:val="00F91532"/>
    <w:rsid w:val="00F92082"/>
    <w:rsid w:val="00F927E6"/>
    <w:rsid w:val="00F9388A"/>
    <w:rsid w:val="00F95278"/>
    <w:rsid w:val="00F96042"/>
    <w:rsid w:val="00F96AE6"/>
    <w:rsid w:val="00FA0E27"/>
    <w:rsid w:val="00FA22CF"/>
    <w:rsid w:val="00FA35E7"/>
    <w:rsid w:val="00FA39E9"/>
    <w:rsid w:val="00FA4C37"/>
    <w:rsid w:val="00FA5751"/>
    <w:rsid w:val="00FA755B"/>
    <w:rsid w:val="00FB1056"/>
    <w:rsid w:val="00FB204D"/>
    <w:rsid w:val="00FB2851"/>
    <w:rsid w:val="00FB2AC4"/>
    <w:rsid w:val="00FB302D"/>
    <w:rsid w:val="00FB32D0"/>
    <w:rsid w:val="00FB3564"/>
    <w:rsid w:val="00FB36D1"/>
    <w:rsid w:val="00FB3D7B"/>
    <w:rsid w:val="00FB425C"/>
    <w:rsid w:val="00FB51D3"/>
    <w:rsid w:val="00FB5B4D"/>
    <w:rsid w:val="00FB5F65"/>
    <w:rsid w:val="00FB634B"/>
    <w:rsid w:val="00FB681A"/>
    <w:rsid w:val="00FB6DEF"/>
    <w:rsid w:val="00FB6F5D"/>
    <w:rsid w:val="00FB747B"/>
    <w:rsid w:val="00FB7EAB"/>
    <w:rsid w:val="00FB7FAA"/>
    <w:rsid w:val="00FC1BF4"/>
    <w:rsid w:val="00FC21BB"/>
    <w:rsid w:val="00FC2254"/>
    <w:rsid w:val="00FC33CA"/>
    <w:rsid w:val="00FC3605"/>
    <w:rsid w:val="00FC3A64"/>
    <w:rsid w:val="00FC3F70"/>
    <w:rsid w:val="00FC40B5"/>
    <w:rsid w:val="00FC4A2B"/>
    <w:rsid w:val="00FC4AFF"/>
    <w:rsid w:val="00FC5542"/>
    <w:rsid w:val="00FC606C"/>
    <w:rsid w:val="00FC6198"/>
    <w:rsid w:val="00FC6334"/>
    <w:rsid w:val="00FC6681"/>
    <w:rsid w:val="00FC693F"/>
    <w:rsid w:val="00FC6CE0"/>
    <w:rsid w:val="00FC6DB7"/>
    <w:rsid w:val="00FD0C17"/>
    <w:rsid w:val="00FD265F"/>
    <w:rsid w:val="00FD2984"/>
    <w:rsid w:val="00FD2BF2"/>
    <w:rsid w:val="00FD37C6"/>
    <w:rsid w:val="00FD46C7"/>
    <w:rsid w:val="00FD4C5F"/>
    <w:rsid w:val="00FD4F75"/>
    <w:rsid w:val="00FD55F7"/>
    <w:rsid w:val="00FE01FE"/>
    <w:rsid w:val="00FE0528"/>
    <w:rsid w:val="00FE06CA"/>
    <w:rsid w:val="00FE1429"/>
    <w:rsid w:val="00FE1BF2"/>
    <w:rsid w:val="00FE39F6"/>
    <w:rsid w:val="00FE4A74"/>
    <w:rsid w:val="00FE53DD"/>
    <w:rsid w:val="00FE60EA"/>
    <w:rsid w:val="00FE7921"/>
    <w:rsid w:val="00FF0D23"/>
    <w:rsid w:val="00FF1C8C"/>
    <w:rsid w:val="00FF385B"/>
    <w:rsid w:val="00FF493D"/>
    <w:rsid w:val="00FF53BD"/>
    <w:rsid w:val="00FF670F"/>
    <w:rsid w:val="00FF6910"/>
    <w:rsid w:val="00FF723E"/>
    <w:rsid w:val="00FF72F2"/>
    <w:rsid w:val="0149E4B3"/>
    <w:rsid w:val="01CAA55A"/>
    <w:rsid w:val="02E536D2"/>
    <w:rsid w:val="057DA4F1"/>
    <w:rsid w:val="0621C9C0"/>
    <w:rsid w:val="071FA748"/>
    <w:rsid w:val="0722BE5D"/>
    <w:rsid w:val="07700DDB"/>
    <w:rsid w:val="07B000C7"/>
    <w:rsid w:val="0821ED4A"/>
    <w:rsid w:val="08DCE786"/>
    <w:rsid w:val="0A3EE347"/>
    <w:rsid w:val="0C7FABAC"/>
    <w:rsid w:val="0D006F8E"/>
    <w:rsid w:val="0E162607"/>
    <w:rsid w:val="0E7CA35F"/>
    <w:rsid w:val="0E9CCE51"/>
    <w:rsid w:val="0EB9F5A3"/>
    <w:rsid w:val="0FC03C09"/>
    <w:rsid w:val="0FF91829"/>
    <w:rsid w:val="11D5EFED"/>
    <w:rsid w:val="129FB3D9"/>
    <w:rsid w:val="14426D8E"/>
    <w:rsid w:val="1494F981"/>
    <w:rsid w:val="14F778E5"/>
    <w:rsid w:val="1A58D824"/>
    <w:rsid w:val="1FF17477"/>
    <w:rsid w:val="20282F5B"/>
    <w:rsid w:val="21EB24DA"/>
    <w:rsid w:val="23D2CECC"/>
    <w:rsid w:val="2553DB15"/>
    <w:rsid w:val="25F2DE61"/>
    <w:rsid w:val="25FFFD1C"/>
    <w:rsid w:val="275E76B9"/>
    <w:rsid w:val="27E6ACAA"/>
    <w:rsid w:val="29DD2799"/>
    <w:rsid w:val="2A49E4F0"/>
    <w:rsid w:val="2B0B77AF"/>
    <w:rsid w:val="2C8806D2"/>
    <w:rsid w:val="2D7FF68D"/>
    <w:rsid w:val="2D9174A3"/>
    <w:rsid w:val="2E1E5945"/>
    <w:rsid w:val="30005EFA"/>
    <w:rsid w:val="33A5D5B3"/>
    <w:rsid w:val="33E152AF"/>
    <w:rsid w:val="3449EE23"/>
    <w:rsid w:val="36DBFBD7"/>
    <w:rsid w:val="386667C0"/>
    <w:rsid w:val="3CB4085C"/>
    <w:rsid w:val="3D2499D3"/>
    <w:rsid w:val="3EE1BC0B"/>
    <w:rsid w:val="405E63E1"/>
    <w:rsid w:val="41A331AE"/>
    <w:rsid w:val="446F7ACF"/>
    <w:rsid w:val="44E020E3"/>
    <w:rsid w:val="481169B4"/>
    <w:rsid w:val="4AAF3528"/>
    <w:rsid w:val="4B21D25B"/>
    <w:rsid w:val="4BB80C4B"/>
    <w:rsid w:val="4C2C0833"/>
    <w:rsid w:val="4D526E88"/>
    <w:rsid w:val="4E67E884"/>
    <w:rsid w:val="4EABC98E"/>
    <w:rsid w:val="500D1A5E"/>
    <w:rsid w:val="51B22F35"/>
    <w:rsid w:val="51D95271"/>
    <w:rsid w:val="525321C8"/>
    <w:rsid w:val="52761A77"/>
    <w:rsid w:val="52989856"/>
    <w:rsid w:val="53131E75"/>
    <w:rsid w:val="53BCC3EA"/>
    <w:rsid w:val="53DFA4A4"/>
    <w:rsid w:val="54B0DC72"/>
    <w:rsid w:val="562E5F62"/>
    <w:rsid w:val="56EDCBF3"/>
    <w:rsid w:val="580DF725"/>
    <w:rsid w:val="58AD332D"/>
    <w:rsid w:val="58B4ECBD"/>
    <w:rsid w:val="5B4B6962"/>
    <w:rsid w:val="5B96E941"/>
    <w:rsid w:val="5BF74D84"/>
    <w:rsid w:val="5C10550F"/>
    <w:rsid w:val="5D89FD2F"/>
    <w:rsid w:val="5E6A88D1"/>
    <w:rsid w:val="5E959462"/>
    <w:rsid w:val="5F654483"/>
    <w:rsid w:val="6058514A"/>
    <w:rsid w:val="62784264"/>
    <w:rsid w:val="6301EB67"/>
    <w:rsid w:val="633EEC47"/>
    <w:rsid w:val="63FAA6C0"/>
    <w:rsid w:val="646C91CC"/>
    <w:rsid w:val="6474E99B"/>
    <w:rsid w:val="65ECC51D"/>
    <w:rsid w:val="66450332"/>
    <w:rsid w:val="67CE09FA"/>
    <w:rsid w:val="68C71DBB"/>
    <w:rsid w:val="68E79587"/>
    <w:rsid w:val="6A69BC81"/>
    <w:rsid w:val="6AA8A365"/>
    <w:rsid w:val="6AF3421F"/>
    <w:rsid w:val="6B515B76"/>
    <w:rsid w:val="6F17D944"/>
    <w:rsid w:val="71F5D1A1"/>
    <w:rsid w:val="7457D87C"/>
    <w:rsid w:val="74BB0C24"/>
    <w:rsid w:val="74D036C3"/>
    <w:rsid w:val="76E10DCE"/>
    <w:rsid w:val="7A48C143"/>
    <w:rsid w:val="7AF32F66"/>
    <w:rsid w:val="7B3035B0"/>
    <w:rsid w:val="7B3386C5"/>
    <w:rsid w:val="7C0EAF40"/>
    <w:rsid w:val="7D2EA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ListParagraph"/>
    <w:next w:val="Normal"/>
    <w:link w:val="Heading1Char"/>
    <w:uiPriority w:val="9"/>
    <w:qFormat/>
    <w:rsid w:val="00350E4C"/>
    <w:pPr>
      <w:numPr>
        <w:numId w:val="13"/>
      </w:numPr>
      <w:spacing w:before="120" w:after="0" w:line="240" w:lineRule="auto"/>
      <w:jc w:val="both"/>
      <w:outlineLvl w:val="0"/>
    </w:pPr>
    <w:rPr>
      <w:rFonts w:ascii="OptimaVO" w:hAnsi="OptimaVO"/>
      <w:b/>
      <w:color w:val="8D0E3B"/>
      <w:szCs w:val="24"/>
    </w:rPr>
  </w:style>
  <w:style w:type="paragraph" w:styleId="Heading2">
    <w:name w:val="heading 2"/>
    <w:basedOn w:val="ListParagraph"/>
    <w:next w:val="Normal"/>
    <w:link w:val="Heading2Char"/>
    <w:uiPriority w:val="9"/>
    <w:unhideWhenUsed/>
    <w:qFormat/>
    <w:rsid w:val="007533A1"/>
    <w:pPr>
      <w:numPr>
        <w:numId w:val="18"/>
      </w:numPr>
      <w:spacing w:after="0"/>
      <w:outlineLvl w:val="1"/>
    </w:pPr>
    <w:rPr>
      <w:rFonts w:ascii="OptimaVO" w:hAnsi="OptimaVO"/>
      <w:b/>
      <w:sz w:val="2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OptimaVO" w:eastAsia="Times New Roman" w:hAnsi="OptimaVO"/>
      <w:b/>
      <w:color w:val="8D0E3B"/>
      <w:sz w:val="24"/>
      <w:szCs w:val="24"/>
      <w:lang w:val="en-US"/>
    </w:rPr>
  </w:style>
  <w:style w:type="character" w:customStyle="1" w:styleId="Heading2Char">
    <w:name w:val="Heading 2 Char"/>
    <w:basedOn w:val="DefaultParagraphFont"/>
    <w:link w:val="Heading2"/>
    <w:uiPriority w:val="9"/>
    <w:rsid w:val="00FC693F"/>
    <w:rPr>
      <w:rFonts w:ascii="OptimaVO" w:eastAsia="Times New Roman" w:hAnsi="OptimaVO"/>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34B02"/>
    <w:pPr>
      <w:spacing w:after="0"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985FA2"/>
    <w:rPr>
      <w:sz w:val="16"/>
      <w:szCs w:val="16"/>
    </w:rPr>
  </w:style>
  <w:style w:type="paragraph" w:styleId="CommentText">
    <w:name w:val="annotation text"/>
    <w:basedOn w:val="Normal"/>
    <w:link w:val="CommentTextChar"/>
    <w:uiPriority w:val="99"/>
    <w:unhideWhenUsed/>
    <w:rsid w:val="00985FA2"/>
    <w:pPr>
      <w:spacing w:line="240" w:lineRule="auto"/>
    </w:pPr>
    <w:rPr>
      <w:sz w:val="20"/>
      <w:szCs w:val="20"/>
    </w:rPr>
  </w:style>
  <w:style w:type="character" w:customStyle="1" w:styleId="CommentTextChar">
    <w:name w:val="Comment Text Char"/>
    <w:basedOn w:val="DefaultParagraphFont"/>
    <w:link w:val="CommentText"/>
    <w:uiPriority w:val="99"/>
    <w:rsid w:val="00985F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FA2"/>
    <w:rPr>
      <w:b/>
      <w:bCs/>
    </w:rPr>
  </w:style>
  <w:style w:type="character" w:customStyle="1" w:styleId="CommentSubjectChar">
    <w:name w:val="Comment Subject Char"/>
    <w:basedOn w:val="CommentTextChar"/>
    <w:link w:val="CommentSubject"/>
    <w:uiPriority w:val="99"/>
    <w:semiHidden/>
    <w:rsid w:val="00985FA2"/>
    <w:rPr>
      <w:rFonts w:ascii="Times New Roman" w:eastAsia="Times New Roman" w:hAnsi="Times New Roman"/>
      <w:b/>
      <w:bCs/>
      <w:sz w:val="20"/>
      <w:szCs w:val="20"/>
    </w:rPr>
  </w:style>
  <w:style w:type="character" w:customStyle="1" w:styleId="apple-converted-space">
    <w:name w:val="apple-converted-space"/>
    <w:basedOn w:val="DefaultParagraphFont"/>
    <w:rsid w:val="00E913CF"/>
  </w:style>
  <w:style w:type="character" w:customStyle="1" w:styleId="Vnbnnidung">
    <w:name w:val="Văn bản nội dung_"/>
    <w:link w:val="Vnbnnidung0"/>
    <w:uiPriority w:val="99"/>
    <w:locked/>
    <w:rsid w:val="00972068"/>
    <w:rPr>
      <w:rFonts w:ascii="Times New Roman" w:hAnsi="Times New Roman"/>
      <w:sz w:val="26"/>
      <w:szCs w:val="26"/>
    </w:rPr>
  </w:style>
  <w:style w:type="paragraph" w:customStyle="1" w:styleId="Vnbnnidung0">
    <w:name w:val="Văn bản nội dung"/>
    <w:basedOn w:val="Normal"/>
    <w:link w:val="Vnbnnidung"/>
    <w:uiPriority w:val="99"/>
    <w:rsid w:val="00972068"/>
    <w:pPr>
      <w:widowControl w:val="0"/>
      <w:spacing w:after="100" w:line="259" w:lineRule="auto"/>
      <w:ind w:firstLine="20"/>
    </w:pPr>
    <w:rPr>
      <w:rFonts w:eastAsiaTheme="minorEastAsia"/>
      <w:sz w:val="26"/>
      <w:szCs w:val="26"/>
    </w:rPr>
  </w:style>
  <w:style w:type="paragraph" w:styleId="NormalWeb">
    <w:name w:val="Normal (Web)"/>
    <w:basedOn w:val="Normal"/>
    <w:uiPriority w:val="99"/>
    <w:unhideWhenUsed/>
    <w:rsid w:val="00972068"/>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unhideWhenUsed/>
    <w:rsid w:val="00640487"/>
    <w:pPr>
      <w:spacing w:after="0" w:line="240" w:lineRule="auto"/>
    </w:pPr>
    <w:rPr>
      <w:sz w:val="20"/>
      <w:szCs w:val="20"/>
    </w:rPr>
  </w:style>
  <w:style w:type="character" w:customStyle="1" w:styleId="FootnoteTextChar">
    <w:name w:val="Footnote Text Char"/>
    <w:basedOn w:val="DefaultParagraphFont"/>
    <w:link w:val="FootnoteText"/>
    <w:uiPriority w:val="99"/>
    <w:rsid w:val="0064048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640487"/>
    <w:rPr>
      <w:vertAlign w:val="superscript"/>
    </w:rPr>
  </w:style>
  <w:style w:type="character" w:styleId="Hyperlink">
    <w:name w:val="Hyperlink"/>
    <w:basedOn w:val="DefaultParagraphFont"/>
    <w:uiPriority w:val="99"/>
    <w:unhideWhenUsed/>
    <w:rsid w:val="00F62908"/>
    <w:rPr>
      <w:color w:val="0000FF" w:themeColor="hyperlink"/>
      <w:u w:val="single"/>
    </w:rPr>
  </w:style>
  <w:style w:type="paragraph" w:styleId="BalloonText">
    <w:name w:val="Balloon Text"/>
    <w:basedOn w:val="Normal"/>
    <w:link w:val="BalloonTextChar"/>
    <w:uiPriority w:val="99"/>
    <w:semiHidden/>
    <w:unhideWhenUsed/>
    <w:rsid w:val="00F7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9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ListParagraph"/>
    <w:next w:val="Normal"/>
    <w:link w:val="Heading1Char"/>
    <w:uiPriority w:val="9"/>
    <w:qFormat/>
    <w:rsid w:val="00350E4C"/>
    <w:pPr>
      <w:numPr>
        <w:numId w:val="13"/>
      </w:numPr>
      <w:spacing w:before="120" w:after="0" w:line="240" w:lineRule="auto"/>
      <w:jc w:val="both"/>
      <w:outlineLvl w:val="0"/>
    </w:pPr>
    <w:rPr>
      <w:rFonts w:ascii="OptimaVO" w:hAnsi="OptimaVO"/>
      <w:b/>
      <w:color w:val="8D0E3B"/>
      <w:szCs w:val="24"/>
    </w:rPr>
  </w:style>
  <w:style w:type="paragraph" w:styleId="Heading2">
    <w:name w:val="heading 2"/>
    <w:basedOn w:val="ListParagraph"/>
    <w:next w:val="Normal"/>
    <w:link w:val="Heading2Char"/>
    <w:uiPriority w:val="9"/>
    <w:unhideWhenUsed/>
    <w:qFormat/>
    <w:rsid w:val="007533A1"/>
    <w:pPr>
      <w:numPr>
        <w:numId w:val="18"/>
      </w:numPr>
      <w:spacing w:after="0"/>
      <w:outlineLvl w:val="1"/>
    </w:pPr>
    <w:rPr>
      <w:rFonts w:ascii="OptimaVO" w:hAnsi="OptimaVO"/>
      <w:b/>
      <w:sz w:val="2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OptimaVO" w:eastAsia="Times New Roman" w:hAnsi="OptimaVO"/>
      <w:b/>
      <w:color w:val="8D0E3B"/>
      <w:sz w:val="24"/>
      <w:szCs w:val="24"/>
      <w:lang w:val="en-US"/>
    </w:rPr>
  </w:style>
  <w:style w:type="character" w:customStyle="1" w:styleId="Heading2Char">
    <w:name w:val="Heading 2 Char"/>
    <w:basedOn w:val="DefaultParagraphFont"/>
    <w:link w:val="Heading2"/>
    <w:uiPriority w:val="9"/>
    <w:rsid w:val="00FC693F"/>
    <w:rPr>
      <w:rFonts w:ascii="OptimaVO" w:eastAsia="Times New Roman" w:hAnsi="OptimaVO"/>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34B02"/>
    <w:pPr>
      <w:spacing w:after="0"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985FA2"/>
    <w:rPr>
      <w:sz w:val="16"/>
      <w:szCs w:val="16"/>
    </w:rPr>
  </w:style>
  <w:style w:type="paragraph" w:styleId="CommentText">
    <w:name w:val="annotation text"/>
    <w:basedOn w:val="Normal"/>
    <w:link w:val="CommentTextChar"/>
    <w:uiPriority w:val="99"/>
    <w:unhideWhenUsed/>
    <w:rsid w:val="00985FA2"/>
    <w:pPr>
      <w:spacing w:line="240" w:lineRule="auto"/>
    </w:pPr>
    <w:rPr>
      <w:sz w:val="20"/>
      <w:szCs w:val="20"/>
    </w:rPr>
  </w:style>
  <w:style w:type="character" w:customStyle="1" w:styleId="CommentTextChar">
    <w:name w:val="Comment Text Char"/>
    <w:basedOn w:val="DefaultParagraphFont"/>
    <w:link w:val="CommentText"/>
    <w:uiPriority w:val="99"/>
    <w:rsid w:val="00985F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FA2"/>
    <w:rPr>
      <w:b/>
      <w:bCs/>
    </w:rPr>
  </w:style>
  <w:style w:type="character" w:customStyle="1" w:styleId="CommentSubjectChar">
    <w:name w:val="Comment Subject Char"/>
    <w:basedOn w:val="CommentTextChar"/>
    <w:link w:val="CommentSubject"/>
    <w:uiPriority w:val="99"/>
    <w:semiHidden/>
    <w:rsid w:val="00985FA2"/>
    <w:rPr>
      <w:rFonts w:ascii="Times New Roman" w:eastAsia="Times New Roman" w:hAnsi="Times New Roman"/>
      <w:b/>
      <w:bCs/>
      <w:sz w:val="20"/>
      <w:szCs w:val="20"/>
    </w:rPr>
  </w:style>
  <w:style w:type="character" w:customStyle="1" w:styleId="apple-converted-space">
    <w:name w:val="apple-converted-space"/>
    <w:basedOn w:val="DefaultParagraphFont"/>
    <w:rsid w:val="00E913CF"/>
  </w:style>
  <w:style w:type="character" w:customStyle="1" w:styleId="Vnbnnidung">
    <w:name w:val="Văn bản nội dung_"/>
    <w:link w:val="Vnbnnidung0"/>
    <w:uiPriority w:val="99"/>
    <w:locked/>
    <w:rsid w:val="00972068"/>
    <w:rPr>
      <w:rFonts w:ascii="Times New Roman" w:hAnsi="Times New Roman"/>
      <w:sz w:val="26"/>
      <w:szCs w:val="26"/>
    </w:rPr>
  </w:style>
  <w:style w:type="paragraph" w:customStyle="1" w:styleId="Vnbnnidung0">
    <w:name w:val="Văn bản nội dung"/>
    <w:basedOn w:val="Normal"/>
    <w:link w:val="Vnbnnidung"/>
    <w:uiPriority w:val="99"/>
    <w:rsid w:val="00972068"/>
    <w:pPr>
      <w:widowControl w:val="0"/>
      <w:spacing w:after="100" w:line="259" w:lineRule="auto"/>
      <w:ind w:firstLine="20"/>
    </w:pPr>
    <w:rPr>
      <w:rFonts w:eastAsiaTheme="minorEastAsia"/>
      <w:sz w:val="26"/>
      <w:szCs w:val="26"/>
    </w:rPr>
  </w:style>
  <w:style w:type="paragraph" w:styleId="NormalWeb">
    <w:name w:val="Normal (Web)"/>
    <w:basedOn w:val="Normal"/>
    <w:uiPriority w:val="99"/>
    <w:unhideWhenUsed/>
    <w:rsid w:val="00972068"/>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unhideWhenUsed/>
    <w:rsid w:val="00640487"/>
    <w:pPr>
      <w:spacing w:after="0" w:line="240" w:lineRule="auto"/>
    </w:pPr>
    <w:rPr>
      <w:sz w:val="20"/>
      <w:szCs w:val="20"/>
    </w:rPr>
  </w:style>
  <w:style w:type="character" w:customStyle="1" w:styleId="FootnoteTextChar">
    <w:name w:val="Footnote Text Char"/>
    <w:basedOn w:val="DefaultParagraphFont"/>
    <w:link w:val="FootnoteText"/>
    <w:uiPriority w:val="99"/>
    <w:rsid w:val="0064048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640487"/>
    <w:rPr>
      <w:vertAlign w:val="superscript"/>
    </w:rPr>
  </w:style>
  <w:style w:type="character" w:styleId="Hyperlink">
    <w:name w:val="Hyperlink"/>
    <w:basedOn w:val="DefaultParagraphFont"/>
    <w:uiPriority w:val="99"/>
    <w:unhideWhenUsed/>
    <w:rsid w:val="00F62908"/>
    <w:rPr>
      <w:color w:val="0000FF" w:themeColor="hyperlink"/>
      <w:u w:val="single"/>
    </w:rPr>
  </w:style>
  <w:style w:type="paragraph" w:styleId="BalloonText">
    <w:name w:val="Balloon Text"/>
    <w:basedOn w:val="Normal"/>
    <w:link w:val="BalloonTextChar"/>
    <w:uiPriority w:val="99"/>
    <w:semiHidden/>
    <w:unhideWhenUsed/>
    <w:rsid w:val="00F7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9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157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microsoft.com/office/2016/09/relationships/commentsIds" Target="commentsIds.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FDAA-0667-4B5E-AE28-D9112EF94844}">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2.xml><?xml version="1.0" encoding="utf-8"?>
<ds:datastoreItem xmlns:ds="http://schemas.openxmlformats.org/officeDocument/2006/customXml" ds:itemID="{6682E49E-7C7A-426A-8E8E-8F3839D73E17}">
  <ds:schemaRefs>
    <ds:schemaRef ds:uri="http://schemas.microsoft.com/sharepoint/v3/contenttype/forms"/>
  </ds:schemaRefs>
</ds:datastoreItem>
</file>

<file path=customXml/itemProps3.xml><?xml version="1.0" encoding="utf-8"?>
<ds:datastoreItem xmlns:ds="http://schemas.openxmlformats.org/officeDocument/2006/customXml" ds:itemID="{E7FF5257-9CAE-45F9-9B17-80EBE1786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FC458-83FA-4443-B673-507428ED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8012</Words>
  <Characters>45672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ngocnv@Petrolimex.com.vn</dc:creator>
  <cp:lastModifiedBy>Thuy Hang</cp:lastModifiedBy>
  <cp:revision>9</cp:revision>
  <cp:lastPrinted>2026-03-27T06:18:00Z</cp:lastPrinted>
  <dcterms:created xsi:type="dcterms:W3CDTF">2026-04-05T03:04:00Z</dcterms:created>
  <dcterms:modified xsi:type="dcterms:W3CDTF">2026-04-06T04:43:00Z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45bda0cf-7658-41a4-b309-172b14cf2c71</vt:lpwstr>
  </property>
  <property fmtid="{D5CDD505-2E9C-101B-9397-08002B2CF9AE}" pid="3" name="ContentTypeId">
    <vt:lpwstr>0x01010022F7C894CEB2784C838A3D5E358CBF2D</vt:lpwstr>
  </property>
  <property fmtid="{D5CDD505-2E9C-101B-9397-08002B2CF9AE}" pid="4" name="MediaServiceImageTags">
    <vt:lpwstr/>
  </property>
  <property fmtid="{D5CDD505-2E9C-101B-9397-08002B2CF9AE}" pid="5" name="docLang">
    <vt:lpwstr>vi</vt:lpwstr>
  </property>
</Properties>
</file>