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F94D2" w14:textId="55BC0EF1" w:rsidR="00D51DB4" w:rsidRPr="00E14DE7" w:rsidRDefault="005F5C57" w:rsidP="00C301A3">
      <w:pPr>
        <w:pStyle w:val="Heading1"/>
        <w:widowControl w:val="0"/>
        <w:numPr>
          <w:ilvl w:val="0"/>
          <w:numId w:val="0"/>
        </w:numPr>
        <w:adjustRightInd w:val="0"/>
        <w:snapToGrid w:val="0"/>
        <w:spacing w:before="0" w:line="276" w:lineRule="auto"/>
        <w:contextualSpacing w:val="0"/>
        <w:jc w:val="center"/>
        <w:rPr>
          <w:rFonts w:ascii="Times New Roman" w:hAnsi="Times New Roman" w:cs="Times New Roman"/>
          <w:bCs/>
          <w:sz w:val="22"/>
          <w:szCs w:val="22"/>
        </w:rPr>
      </w:pPr>
      <w:r w:rsidRPr="00E14DE7">
        <w:rPr>
          <w:rFonts w:ascii="Times New Roman" w:hAnsi="Times New Roman" w:cs="Times New Roman"/>
          <w:sz w:val="22"/>
        </w:rPr>
        <w:t>APPENDIX - SUMMARY TABLE OF RECOMMENDED AMENDMENTS AND SUPPLEMENT</w:t>
      </w:r>
      <w:r w:rsidR="00D07C73" w:rsidRPr="00E14DE7">
        <w:rPr>
          <w:rFonts w:ascii="Times New Roman" w:hAnsi="Times New Roman" w:cs="Times New Roman"/>
          <w:sz w:val="22"/>
        </w:rPr>
        <w:t>S</w:t>
      </w:r>
      <w:r w:rsidRPr="00E14DE7">
        <w:rPr>
          <w:rFonts w:ascii="Times New Roman" w:hAnsi="Times New Roman" w:cs="Times New Roman"/>
          <w:sz w:val="22"/>
        </w:rPr>
        <w:t xml:space="preserve"> TO THE INTERNAL GOVERNANCE REGULATION OF PETROLIMEX (REGULATION 218)</w:t>
      </w:r>
    </w:p>
    <w:p w14:paraId="5DBB1B7D" w14:textId="77777777" w:rsidR="00D6146B" w:rsidRPr="00E14DE7" w:rsidRDefault="00D6146B" w:rsidP="00C301A3">
      <w:pPr>
        <w:widowControl w:val="0"/>
        <w:adjustRightInd w:val="0"/>
        <w:snapToGrid w:val="0"/>
        <w:spacing w:after="0"/>
        <w:rPr>
          <w:rFonts w:cs="Times New Roman"/>
          <w:sz w:val="22"/>
        </w:rPr>
      </w:pPr>
    </w:p>
    <w:p w14:paraId="06FF5245" w14:textId="6D3AC876" w:rsidR="008B61F7" w:rsidRPr="00E14DE7" w:rsidRDefault="003D3ADB" w:rsidP="00C301A3">
      <w:pPr>
        <w:pStyle w:val="ListParagraph"/>
        <w:widowControl w:val="0"/>
        <w:numPr>
          <w:ilvl w:val="0"/>
          <w:numId w:val="15"/>
        </w:numPr>
        <w:adjustRightInd w:val="0"/>
        <w:snapToGrid w:val="0"/>
        <w:spacing w:after="0"/>
        <w:ind w:left="567" w:hanging="567"/>
        <w:contextualSpacing w:val="0"/>
        <w:jc w:val="both"/>
        <w:rPr>
          <w:rFonts w:cs="Times New Roman"/>
          <w:color w:val="000000" w:themeColor="text1"/>
          <w:sz w:val="22"/>
        </w:rPr>
      </w:pPr>
      <w:r w:rsidRPr="00E14DE7">
        <w:rPr>
          <w:rFonts w:cs="Times New Roman"/>
          <w:b/>
          <w:color w:val="000000" w:themeColor="text1"/>
          <w:sz w:val="22"/>
        </w:rPr>
        <w:t xml:space="preserve">Purpose: </w:t>
      </w:r>
      <w:r w:rsidRPr="00E14DE7">
        <w:rPr>
          <w:rFonts w:cs="Times New Roman"/>
          <w:color w:val="000000" w:themeColor="text1"/>
          <w:sz w:val="22"/>
        </w:rPr>
        <w:t>To summarize the recommended amendments and supplement to the Internal Governance Regulation of Petrolimex (Regulation 218).</w:t>
      </w:r>
    </w:p>
    <w:p w14:paraId="36D407F0" w14:textId="77777777" w:rsidR="00FB3D7B" w:rsidRPr="00E14DE7" w:rsidRDefault="00FB3D7B" w:rsidP="00C301A3">
      <w:pPr>
        <w:pStyle w:val="ListParagraph"/>
        <w:widowControl w:val="0"/>
        <w:adjustRightInd w:val="0"/>
        <w:snapToGrid w:val="0"/>
        <w:spacing w:after="0"/>
        <w:ind w:left="567" w:hanging="567"/>
        <w:contextualSpacing w:val="0"/>
        <w:jc w:val="both"/>
        <w:rPr>
          <w:rFonts w:cs="Times New Roman"/>
          <w:color w:val="000000" w:themeColor="text1"/>
          <w:sz w:val="22"/>
        </w:rPr>
      </w:pPr>
    </w:p>
    <w:p w14:paraId="29371994" w14:textId="03293E1F" w:rsidR="00FB3D7B" w:rsidRPr="00E14DE7" w:rsidRDefault="00F82FC6" w:rsidP="00C301A3">
      <w:pPr>
        <w:pStyle w:val="ListParagraph"/>
        <w:widowControl w:val="0"/>
        <w:numPr>
          <w:ilvl w:val="0"/>
          <w:numId w:val="15"/>
        </w:numPr>
        <w:adjustRightInd w:val="0"/>
        <w:snapToGrid w:val="0"/>
        <w:spacing w:after="0"/>
        <w:ind w:left="567" w:hanging="567"/>
        <w:contextualSpacing w:val="0"/>
        <w:jc w:val="both"/>
        <w:rPr>
          <w:rFonts w:cs="Times New Roman"/>
          <w:color w:val="000000" w:themeColor="text1"/>
          <w:sz w:val="22"/>
        </w:rPr>
      </w:pPr>
      <w:r w:rsidRPr="00E14DE7">
        <w:rPr>
          <w:rFonts w:cs="Times New Roman"/>
          <w:b/>
          <w:color w:val="000000" w:themeColor="text1"/>
          <w:sz w:val="22"/>
        </w:rPr>
        <w:t xml:space="preserve">Legal basis for review, </w:t>
      </w:r>
      <w:r w:rsidR="002723CC" w:rsidRPr="00E14DE7">
        <w:rPr>
          <w:rFonts w:cs="Times New Roman"/>
          <w:b/>
          <w:color w:val="000000" w:themeColor="text1"/>
          <w:sz w:val="22"/>
        </w:rPr>
        <w:t>update/amendment and supplement</w:t>
      </w:r>
      <w:r w:rsidR="00E37BD2" w:rsidRPr="00E14DE7">
        <w:rPr>
          <w:rFonts w:cs="Times New Roman"/>
          <w:b/>
          <w:color w:val="000000" w:themeColor="text1"/>
          <w:sz w:val="22"/>
        </w:rPr>
        <w:t>:</w:t>
      </w:r>
    </w:p>
    <w:p w14:paraId="00A1771F" w14:textId="163A1813" w:rsidR="00B74480" w:rsidRPr="00E14DE7" w:rsidRDefault="00B74480" w:rsidP="00C301A3">
      <w:pPr>
        <w:pStyle w:val="ListParagraph"/>
        <w:widowControl w:val="0"/>
        <w:numPr>
          <w:ilvl w:val="1"/>
          <w:numId w:val="15"/>
        </w:numPr>
        <w:adjustRightInd w:val="0"/>
        <w:snapToGrid w:val="0"/>
        <w:spacing w:after="0"/>
        <w:ind w:left="567" w:hanging="567"/>
        <w:contextualSpacing w:val="0"/>
        <w:jc w:val="both"/>
        <w:rPr>
          <w:rFonts w:cs="Times New Roman"/>
          <w:color w:val="000000" w:themeColor="text1"/>
          <w:sz w:val="22"/>
        </w:rPr>
      </w:pPr>
      <w:r w:rsidRPr="00E14DE7">
        <w:rPr>
          <w:rFonts w:cs="Times New Roman"/>
          <w:color w:val="000000" w:themeColor="text1"/>
          <w:sz w:val="22"/>
        </w:rPr>
        <w:t>The Resolution No. 79-NQ/TW of the Politburo dated January 6, 2026 on State Economy Development (</w:t>
      </w:r>
      <w:r w:rsidRPr="00E14DE7">
        <w:rPr>
          <w:rFonts w:cs="Times New Roman"/>
          <w:b/>
          <w:color w:val="000000" w:themeColor="text1"/>
          <w:sz w:val="22"/>
        </w:rPr>
        <w:t>Resolution 79</w:t>
      </w:r>
      <w:r w:rsidRPr="00E14DE7">
        <w:rPr>
          <w:rFonts w:cs="Times New Roman"/>
          <w:color w:val="000000" w:themeColor="text1"/>
          <w:sz w:val="22"/>
        </w:rPr>
        <w:t>);</w:t>
      </w:r>
    </w:p>
    <w:p w14:paraId="4D638D5E" w14:textId="77777777" w:rsidR="00B74480" w:rsidRPr="00E14DE7" w:rsidRDefault="00B74480" w:rsidP="00C301A3">
      <w:pPr>
        <w:pStyle w:val="ListParagraph"/>
        <w:widowControl w:val="0"/>
        <w:numPr>
          <w:ilvl w:val="1"/>
          <w:numId w:val="15"/>
        </w:numPr>
        <w:adjustRightInd w:val="0"/>
        <w:snapToGrid w:val="0"/>
        <w:spacing w:after="0"/>
        <w:ind w:left="567" w:hanging="567"/>
        <w:contextualSpacing w:val="0"/>
        <w:jc w:val="both"/>
        <w:rPr>
          <w:rFonts w:cs="Times New Roman"/>
          <w:color w:val="000000" w:themeColor="text1"/>
          <w:sz w:val="22"/>
        </w:rPr>
      </w:pPr>
      <w:r w:rsidRPr="00E14DE7">
        <w:rPr>
          <w:rFonts w:cs="Times New Roman"/>
          <w:color w:val="000000" w:themeColor="text1"/>
          <w:sz w:val="22"/>
        </w:rPr>
        <w:t xml:space="preserve">The Law No. 76/2025/QH15 on amending and supplementing a number of Articles of the Law on Enterprises approved on June 17, 2025 by the National Assembly of the Socialist Republic of Vietnam (the </w:t>
      </w:r>
      <w:r w:rsidRPr="00E14DE7">
        <w:rPr>
          <w:rFonts w:cs="Times New Roman"/>
          <w:b/>
          <w:bCs/>
          <w:color w:val="000000" w:themeColor="text1"/>
          <w:sz w:val="22"/>
        </w:rPr>
        <w:t>amended Law on Enterprises 2025</w:t>
      </w:r>
      <w:r w:rsidRPr="00E14DE7">
        <w:rPr>
          <w:rFonts w:cs="Times New Roman"/>
          <w:color w:val="000000" w:themeColor="text1"/>
          <w:sz w:val="22"/>
        </w:rPr>
        <w:t>);</w:t>
      </w:r>
    </w:p>
    <w:p w14:paraId="7F333653" w14:textId="77777777" w:rsidR="00B74480" w:rsidRPr="00E14DE7" w:rsidRDefault="00B74480" w:rsidP="00C301A3">
      <w:pPr>
        <w:pStyle w:val="ListParagraph"/>
        <w:widowControl w:val="0"/>
        <w:numPr>
          <w:ilvl w:val="1"/>
          <w:numId w:val="15"/>
        </w:numPr>
        <w:adjustRightInd w:val="0"/>
        <w:snapToGrid w:val="0"/>
        <w:spacing w:after="0"/>
        <w:ind w:left="567" w:hanging="567"/>
        <w:contextualSpacing w:val="0"/>
        <w:jc w:val="both"/>
        <w:rPr>
          <w:rFonts w:cs="Times New Roman"/>
          <w:color w:val="000000" w:themeColor="text1"/>
          <w:sz w:val="22"/>
        </w:rPr>
      </w:pPr>
      <w:r w:rsidRPr="00E14DE7">
        <w:rPr>
          <w:rFonts w:cs="Times New Roman"/>
          <w:color w:val="000000" w:themeColor="text1"/>
          <w:sz w:val="22"/>
        </w:rPr>
        <w:t>The Law on Management and Investment of State Capital in Enterprises No. 68/2025/QH15 approved on June 14, 2025 by the National Assembly of the Socialist Republic of Vietnam (</w:t>
      </w:r>
      <w:r w:rsidRPr="00E14DE7">
        <w:rPr>
          <w:rFonts w:cs="Times New Roman"/>
          <w:b/>
          <w:color w:val="000000" w:themeColor="text1"/>
          <w:sz w:val="22"/>
        </w:rPr>
        <w:t>Law 68</w:t>
      </w:r>
      <w:r w:rsidRPr="00E14DE7">
        <w:rPr>
          <w:rFonts w:cs="Times New Roman"/>
          <w:color w:val="000000" w:themeColor="text1"/>
          <w:sz w:val="22"/>
        </w:rPr>
        <w:t>);</w:t>
      </w:r>
    </w:p>
    <w:p w14:paraId="2EB2F159" w14:textId="296E7742" w:rsidR="00B74480" w:rsidRPr="00E14DE7" w:rsidRDefault="00B74480" w:rsidP="00C301A3">
      <w:pPr>
        <w:pStyle w:val="ListParagraph"/>
        <w:widowControl w:val="0"/>
        <w:numPr>
          <w:ilvl w:val="1"/>
          <w:numId w:val="15"/>
        </w:numPr>
        <w:adjustRightInd w:val="0"/>
        <w:snapToGrid w:val="0"/>
        <w:spacing w:after="0"/>
        <w:ind w:left="567" w:hanging="567"/>
        <w:contextualSpacing w:val="0"/>
        <w:jc w:val="both"/>
        <w:rPr>
          <w:rFonts w:cs="Times New Roman"/>
          <w:color w:val="000000" w:themeColor="text1"/>
          <w:sz w:val="22"/>
        </w:rPr>
      </w:pPr>
      <w:r w:rsidRPr="00E14DE7">
        <w:rPr>
          <w:rFonts w:cs="Times New Roman"/>
          <w:color w:val="000000" w:themeColor="text1"/>
          <w:sz w:val="22"/>
        </w:rPr>
        <w:t>The Decree No. 245/2025/N</w:t>
      </w:r>
      <w:r w:rsidR="0004272D" w:rsidRPr="00E14DE7">
        <w:rPr>
          <w:rFonts w:cs="Times New Roman"/>
          <w:color w:val="000000" w:themeColor="text1"/>
          <w:sz w:val="22"/>
        </w:rPr>
        <w:t>D</w:t>
      </w:r>
      <w:r w:rsidRPr="00E14DE7">
        <w:rPr>
          <w:rFonts w:cs="Times New Roman"/>
          <w:color w:val="000000" w:themeColor="text1"/>
          <w:sz w:val="22"/>
        </w:rPr>
        <w:t>-CP of the Government dated September 11, 2025 on amending and supplementing a number of Articles of the Decree No. 155/2020/N</w:t>
      </w:r>
      <w:r w:rsidR="0004272D" w:rsidRPr="00E14DE7">
        <w:rPr>
          <w:rFonts w:cs="Times New Roman"/>
          <w:color w:val="000000" w:themeColor="text1"/>
          <w:sz w:val="22"/>
        </w:rPr>
        <w:t>D</w:t>
      </w:r>
      <w:r w:rsidRPr="00E14DE7">
        <w:rPr>
          <w:rFonts w:cs="Times New Roman"/>
          <w:color w:val="000000" w:themeColor="text1"/>
          <w:sz w:val="22"/>
        </w:rPr>
        <w:t>-CP (</w:t>
      </w:r>
      <w:r w:rsidRPr="00E14DE7">
        <w:rPr>
          <w:rFonts w:cs="Times New Roman"/>
          <w:b/>
          <w:bCs/>
          <w:color w:val="000000" w:themeColor="text1"/>
          <w:sz w:val="22"/>
        </w:rPr>
        <w:t>Decree 245/2025/</w:t>
      </w:r>
      <w:r w:rsidRPr="00E14DE7">
        <w:rPr>
          <w:rFonts w:cs="Times New Roman"/>
          <w:b/>
          <w:color w:val="000000" w:themeColor="text1"/>
          <w:sz w:val="22"/>
        </w:rPr>
        <w:t>N</w:t>
      </w:r>
      <w:r w:rsidR="0004272D" w:rsidRPr="00E14DE7">
        <w:rPr>
          <w:rFonts w:cs="Times New Roman"/>
          <w:b/>
          <w:color w:val="000000" w:themeColor="text1"/>
          <w:sz w:val="22"/>
        </w:rPr>
        <w:t>D</w:t>
      </w:r>
      <w:r w:rsidRPr="00E14DE7">
        <w:rPr>
          <w:rFonts w:cs="Times New Roman"/>
          <w:b/>
          <w:color w:val="000000" w:themeColor="text1"/>
          <w:sz w:val="22"/>
        </w:rPr>
        <w:t>-CP</w:t>
      </w:r>
      <w:r w:rsidRPr="00E14DE7">
        <w:rPr>
          <w:rFonts w:cs="Times New Roman"/>
          <w:color w:val="000000" w:themeColor="text1"/>
          <w:sz w:val="22"/>
        </w:rPr>
        <w:t>);</w:t>
      </w:r>
    </w:p>
    <w:p w14:paraId="21E19DC7" w14:textId="01DBD855" w:rsidR="00B74480" w:rsidRPr="00E14DE7" w:rsidRDefault="00B74480" w:rsidP="00C301A3">
      <w:pPr>
        <w:pStyle w:val="ListParagraph"/>
        <w:widowControl w:val="0"/>
        <w:numPr>
          <w:ilvl w:val="1"/>
          <w:numId w:val="15"/>
        </w:numPr>
        <w:adjustRightInd w:val="0"/>
        <w:snapToGrid w:val="0"/>
        <w:spacing w:after="0"/>
        <w:ind w:left="567" w:hanging="567"/>
        <w:contextualSpacing w:val="0"/>
        <w:jc w:val="both"/>
        <w:rPr>
          <w:rFonts w:cs="Times New Roman"/>
          <w:color w:val="000000" w:themeColor="text1"/>
          <w:sz w:val="22"/>
        </w:rPr>
      </w:pPr>
      <w:r w:rsidRPr="00E14DE7">
        <w:rPr>
          <w:rFonts w:cs="Times New Roman"/>
          <w:color w:val="000000" w:themeColor="text1"/>
          <w:sz w:val="22"/>
        </w:rPr>
        <w:t>The Decree No. 248/2025/N</w:t>
      </w:r>
      <w:r w:rsidR="0004272D" w:rsidRPr="00E14DE7">
        <w:rPr>
          <w:rFonts w:cs="Times New Roman"/>
          <w:color w:val="000000" w:themeColor="text1"/>
          <w:sz w:val="22"/>
        </w:rPr>
        <w:t>D</w:t>
      </w:r>
      <w:r w:rsidRPr="00E14DE7">
        <w:rPr>
          <w:rFonts w:cs="Times New Roman"/>
          <w:color w:val="000000" w:themeColor="text1"/>
          <w:sz w:val="22"/>
        </w:rPr>
        <w:t>-CP of the Government dated September 15, 2025 on the salary, remuneration, and bonus scheme of the direct state ownership representative, the representative of state capital and the controller in State-owned enterprises (</w:t>
      </w:r>
      <w:r w:rsidRPr="00E14DE7">
        <w:rPr>
          <w:rFonts w:cs="Times New Roman"/>
          <w:b/>
          <w:bCs/>
          <w:color w:val="000000" w:themeColor="text1"/>
          <w:sz w:val="22"/>
        </w:rPr>
        <w:t>Decree 248/2025/N</w:t>
      </w:r>
      <w:r w:rsidR="0004272D" w:rsidRPr="00E14DE7">
        <w:rPr>
          <w:rFonts w:cs="Times New Roman"/>
          <w:b/>
          <w:bCs/>
          <w:color w:val="000000" w:themeColor="text1"/>
          <w:sz w:val="22"/>
        </w:rPr>
        <w:t>D</w:t>
      </w:r>
      <w:r w:rsidRPr="00E14DE7">
        <w:rPr>
          <w:rFonts w:cs="Times New Roman"/>
          <w:b/>
          <w:bCs/>
          <w:color w:val="000000" w:themeColor="text1"/>
          <w:sz w:val="22"/>
        </w:rPr>
        <w:t>-CP</w:t>
      </w:r>
      <w:r w:rsidRPr="00E14DE7">
        <w:rPr>
          <w:rFonts w:cs="Times New Roman"/>
          <w:color w:val="000000" w:themeColor="text1"/>
          <w:sz w:val="22"/>
        </w:rPr>
        <w:t>);</w:t>
      </w:r>
    </w:p>
    <w:p w14:paraId="676EA8D7" w14:textId="127D25D8" w:rsidR="00B74480" w:rsidRPr="00E14DE7" w:rsidRDefault="00B74480" w:rsidP="00C301A3">
      <w:pPr>
        <w:pStyle w:val="ListParagraph"/>
        <w:widowControl w:val="0"/>
        <w:numPr>
          <w:ilvl w:val="1"/>
          <w:numId w:val="15"/>
        </w:numPr>
        <w:adjustRightInd w:val="0"/>
        <w:snapToGrid w:val="0"/>
        <w:spacing w:after="0"/>
        <w:ind w:left="567" w:hanging="567"/>
        <w:contextualSpacing w:val="0"/>
        <w:jc w:val="both"/>
        <w:rPr>
          <w:rFonts w:cs="Times New Roman"/>
          <w:color w:val="000000" w:themeColor="text1"/>
          <w:sz w:val="22"/>
        </w:rPr>
      </w:pPr>
      <w:r w:rsidRPr="00E14DE7">
        <w:rPr>
          <w:rFonts w:cs="Times New Roman"/>
          <w:color w:val="000000" w:themeColor="text1"/>
          <w:sz w:val="22"/>
        </w:rPr>
        <w:t>The Decree No. 365/2025/N</w:t>
      </w:r>
      <w:r w:rsidR="0004272D" w:rsidRPr="00E14DE7">
        <w:rPr>
          <w:rFonts w:cs="Times New Roman"/>
          <w:color w:val="000000" w:themeColor="text1"/>
          <w:sz w:val="22"/>
        </w:rPr>
        <w:t>D</w:t>
      </w:r>
      <w:r w:rsidRPr="00E14DE7">
        <w:rPr>
          <w:rFonts w:cs="Times New Roman"/>
          <w:color w:val="000000" w:themeColor="text1"/>
          <w:sz w:val="22"/>
        </w:rPr>
        <w:t>-CP of the Government dated December 31, 2025 on supervision, inspection, evaluation, classification, reporting and information disclosure in the management and investment of state capital in enterprises (</w:t>
      </w:r>
      <w:r w:rsidRPr="00E14DE7">
        <w:rPr>
          <w:rFonts w:cs="Times New Roman"/>
          <w:b/>
          <w:bCs/>
          <w:color w:val="000000" w:themeColor="text1"/>
          <w:sz w:val="22"/>
        </w:rPr>
        <w:t>Decree 365/2025/N</w:t>
      </w:r>
      <w:r w:rsidR="0004272D" w:rsidRPr="00E14DE7">
        <w:rPr>
          <w:rFonts w:cs="Times New Roman"/>
          <w:b/>
          <w:bCs/>
          <w:color w:val="000000" w:themeColor="text1"/>
          <w:sz w:val="22"/>
        </w:rPr>
        <w:t>D</w:t>
      </w:r>
      <w:r w:rsidRPr="00E14DE7">
        <w:rPr>
          <w:rFonts w:cs="Times New Roman"/>
          <w:b/>
          <w:bCs/>
          <w:color w:val="000000" w:themeColor="text1"/>
          <w:sz w:val="22"/>
        </w:rPr>
        <w:t>-CP</w:t>
      </w:r>
      <w:r w:rsidRPr="00E14DE7">
        <w:rPr>
          <w:rFonts w:cs="Times New Roman"/>
          <w:color w:val="000000" w:themeColor="text1"/>
          <w:sz w:val="22"/>
        </w:rPr>
        <w:t>);</w:t>
      </w:r>
    </w:p>
    <w:p w14:paraId="1B50403C" w14:textId="38BA8139" w:rsidR="00B74480" w:rsidRPr="00E14DE7" w:rsidRDefault="00B74480" w:rsidP="00C301A3">
      <w:pPr>
        <w:pStyle w:val="ListParagraph"/>
        <w:widowControl w:val="0"/>
        <w:numPr>
          <w:ilvl w:val="1"/>
          <w:numId w:val="15"/>
        </w:numPr>
        <w:adjustRightInd w:val="0"/>
        <w:snapToGrid w:val="0"/>
        <w:spacing w:after="0"/>
        <w:ind w:left="567" w:hanging="567"/>
        <w:contextualSpacing w:val="0"/>
        <w:jc w:val="both"/>
        <w:rPr>
          <w:rFonts w:cs="Times New Roman"/>
          <w:color w:val="000000" w:themeColor="text1"/>
          <w:sz w:val="22"/>
        </w:rPr>
      </w:pPr>
      <w:r w:rsidRPr="00E14DE7">
        <w:rPr>
          <w:rFonts w:cs="Times New Roman"/>
          <w:color w:val="000000" w:themeColor="text1"/>
          <w:sz w:val="22"/>
        </w:rPr>
        <w:t>The Decree No. 366/2025/N</w:t>
      </w:r>
      <w:r w:rsidR="0004272D" w:rsidRPr="00E14DE7">
        <w:rPr>
          <w:rFonts w:cs="Times New Roman"/>
          <w:color w:val="000000" w:themeColor="text1"/>
          <w:sz w:val="22"/>
        </w:rPr>
        <w:t>D</w:t>
      </w:r>
      <w:r w:rsidRPr="00E14DE7">
        <w:rPr>
          <w:rFonts w:cs="Times New Roman"/>
          <w:color w:val="000000" w:themeColor="text1"/>
          <w:sz w:val="22"/>
        </w:rPr>
        <w:t>-CP of the Government dated December 31, 2025 on Management and Investment of State Capital in enterprises (</w:t>
      </w:r>
      <w:r w:rsidRPr="00E14DE7">
        <w:rPr>
          <w:rFonts w:cs="Times New Roman"/>
          <w:b/>
          <w:bCs/>
          <w:color w:val="000000" w:themeColor="text1"/>
          <w:sz w:val="22"/>
        </w:rPr>
        <w:t>Decree 366/2025/N</w:t>
      </w:r>
      <w:r w:rsidR="0004272D" w:rsidRPr="00E14DE7">
        <w:rPr>
          <w:rFonts w:cs="Times New Roman"/>
          <w:b/>
          <w:bCs/>
          <w:color w:val="000000" w:themeColor="text1"/>
          <w:sz w:val="22"/>
        </w:rPr>
        <w:t>D</w:t>
      </w:r>
      <w:r w:rsidRPr="00E14DE7">
        <w:rPr>
          <w:rFonts w:cs="Times New Roman"/>
          <w:b/>
          <w:bCs/>
          <w:color w:val="000000" w:themeColor="text1"/>
          <w:sz w:val="22"/>
        </w:rPr>
        <w:t>-CP</w:t>
      </w:r>
      <w:r w:rsidRPr="00E14DE7">
        <w:rPr>
          <w:rFonts w:cs="Times New Roman"/>
          <w:color w:val="000000" w:themeColor="text1"/>
          <w:sz w:val="22"/>
        </w:rPr>
        <w:t>);</w:t>
      </w:r>
    </w:p>
    <w:p w14:paraId="70BD087F" w14:textId="452D90A5" w:rsidR="00B74480" w:rsidRPr="00E14DE7" w:rsidRDefault="00B74480" w:rsidP="00C301A3">
      <w:pPr>
        <w:pStyle w:val="ListParagraph"/>
        <w:widowControl w:val="0"/>
        <w:numPr>
          <w:ilvl w:val="1"/>
          <w:numId w:val="15"/>
        </w:numPr>
        <w:adjustRightInd w:val="0"/>
        <w:snapToGrid w:val="0"/>
        <w:spacing w:after="0"/>
        <w:ind w:left="567" w:hanging="567"/>
        <w:contextualSpacing w:val="0"/>
        <w:jc w:val="both"/>
        <w:rPr>
          <w:rFonts w:cs="Times New Roman"/>
          <w:color w:val="000000" w:themeColor="text1"/>
          <w:sz w:val="22"/>
        </w:rPr>
      </w:pPr>
      <w:r w:rsidRPr="00E14DE7">
        <w:rPr>
          <w:rFonts w:cs="Times New Roman"/>
          <w:color w:val="000000" w:themeColor="text1"/>
          <w:sz w:val="22"/>
        </w:rPr>
        <w:t>The Decree No. 57/2026/N</w:t>
      </w:r>
      <w:r w:rsidR="0004272D" w:rsidRPr="00E14DE7">
        <w:rPr>
          <w:rFonts w:cs="Times New Roman"/>
          <w:color w:val="000000" w:themeColor="text1"/>
          <w:sz w:val="22"/>
        </w:rPr>
        <w:t>D</w:t>
      </w:r>
      <w:r w:rsidRPr="00E14DE7">
        <w:rPr>
          <w:rFonts w:cs="Times New Roman"/>
          <w:color w:val="000000" w:themeColor="text1"/>
          <w:sz w:val="22"/>
        </w:rPr>
        <w:t>-CP of the Government dated February 12, 2026 on restructuring of state capital in Enterprises (</w:t>
      </w:r>
      <w:r w:rsidRPr="00E14DE7">
        <w:rPr>
          <w:rFonts w:cs="Times New Roman"/>
          <w:b/>
          <w:bCs/>
          <w:color w:val="000000" w:themeColor="text1"/>
          <w:sz w:val="22"/>
        </w:rPr>
        <w:t>Decree 57/2026/N</w:t>
      </w:r>
      <w:r w:rsidR="0004272D" w:rsidRPr="00E14DE7">
        <w:rPr>
          <w:rFonts w:cs="Times New Roman"/>
          <w:b/>
          <w:bCs/>
          <w:color w:val="000000" w:themeColor="text1"/>
          <w:sz w:val="22"/>
        </w:rPr>
        <w:t>D</w:t>
      </w:r>
      <w:r w:rsidRPr="00E14DE7">
        <w:rPr>
          <w:rFonts w:cs="Times New Roman"/>
          <w:b/>
          <w:bCs/>
          <w:color w:val="000000" w:themeColor="text1"/>
          <w:sz w:val="22"/>
        </w:rPr>
        <w:t>-CP</w:t>
      </w:r>
      <w:r w:rsidRPr="00E14DE7">
        <w:rPr>
          <w:rFonts w:cs="Times New Roman"/>
          <w:color w:val="000000" w:themeColor="text1"/>
          <w:sz w:val="22"/>
        </w:rPr>
        <w:t>);</w:t>
      </w:r>
    </w:p>
    <w:p w14:paraId="1DBB3840" w14:textId="3B68C8B4" w:rsidR="00EF5C17" w:rsidRPr="00E14DE7" w:rsidRDefault="00EF5C17" w:rsidP="00C301A3">
      <w:pPr>
        <w:widowControl w:val="0"/>
        <w:numPr>
          <w:ilvl w:val="1"/>
          <w:numId w:val="15"/>
        </w:numPr>
        <w:adjustRightInd w:val="0"/>
        <w:snapToGrid w:val="0"/>
        <w:spacing w:after="0"/>
        <w:ind w:left="567" w:hanging="567"/>
        <w:jc w:val="both"/>
        <w:rPr>
          <w:rFonts w:cs="Times New Roman"/>
          <w:color w:val="000000"/>
          <w:sz w:val="22"/>
        </w:rPr>
      </w:pPr>
      <w:r w:rsidRPr="00E14DE7">
        <w:rPr>
          <w:rFonts w:cs="Times New Roman"/>
          <w:color w:val="000000"/>
          <w:sz w:val="22"/>
        </w:rPr>
        <w:t>The Corporate Governance Code for Public Companies (2026 Edition), jointly developed by the State Securities Commission and the International Finance Corporation (IFC) (</w:t>
      </w:r>
      <w:r w:rsidRPr="00E14DE7">
        <w:rPr>
          <w:rFonts w:cs="Times New Roman"/>
          <w:b/>
          <w:bCs/>
          <w:color w:val="000000"/>
          <w:sz w:val="22"/>
        </w:rPr>
        <w:t>the Code/OECD Principles</w:t>
      </w:r>
      <w:r w:rsidRPr="00E14DE7">
        <w:rPr>
          <w:rFonts w:cs="Times New Roman"/>
          <w:color w:val="000000"/>
          <w:sz w:val="22"/>
        </w:rPr>
        <w:t>).</w:t>
      </w:r>
    </w:p>
    <w:p w14:paraId="45106853" w14:textId="77777777" w:rsidR="004C7DE2" w:rsidRPr="00E14DE7" w:rsidRDefault="004C7DE2" w:rsidP="004C7DE2">
      <w:pPr>
        <w:widowControl w:val="0"/>
        <w:adjustRightInd w:val="0"/>
        <w:snapToGrid w:val="0"/>
        <w:spacing w:after="0"/>
        <w:ind w:left="567"/>
        <w:jc w:val="both"/>
        <w:rPr>
          <w:rFonts w:cs="Times New Roman"/>
          <w:color w:val="000000"/>
          <w:sz w:val="22"/>
        </w:rPr>
      </w:pPr>
    </w:p>
    <w:p w14:paraId="212A42BC" w14:textId="77777777" w:rsidR="004C7DE2" w:rsidRPr="00E14DE7" w:rsidRDefault="004C7DE2" w:rsidP="004C7DE2">
      <w:pPr>
        <w:widowControl w:val="0"/>
        <w:adjustRightInd w:val="0"/>
        <w:snapToGrid w:val="0"/>
        <w:spacing w:after="0"/>
        <w:ind w:left="567"/>
        <w:jc w:val="both"/>
        <w:rPr>
          <w:rFonts w:cs="Times New Roman"/>
          <w:color w:val="000000"/>
          <w:sz w:val="22"/>
        </w:rPr>
      </w:pPr>
    </w:p>
    <w:tbl>
      <w:tblPr>
        <w:tblStyle w:val="TableGrid"/>
        <w:tblW w:w="5000" w:type="pct"/>
        <w:tblLook w:val="04A0" w:firstRow="1" w:lastRow="0" w:firstColumn="1" w:lastColumn="0" w:noHBand="0" w:noVBand="1"/>
      </w:tblPr>
      <w:tblGrid>
        <w:gridCol w:w="578"/>
        <w:gridCol w:w="1561"/>
        <w:gridCol w:w="3149"/>
        <w:gridCol w:w="5428"/>
        <w:gridCol w:w="2788"/>
      </w:tblGrid>
      <w:tr w:rsidR="00457417" w:rsidRPr="00E14DE7" w14:paraId="06E50990" w14:textId="77777777" w:rsidTr="00A139F4">
        <w:trPr>
          <w:trHeight w:val="20"/>
          <w:tblHeader/>
        </w:trPr>
        <w:tc>
          <w:tcPr>
            <w:tcW w:w="215" w:type="pct"/>
            <w:shd w:val="clear" w:color="auto" w:fill="8D0E3B"/>
          </w:tcPr>
          <w:p w14:paraId="01A83534" w14:textId="659336DD" w:rsidR="00457417" w:rsidRPr="00E14DE7" w:rsidRDefault="00457417" w:rsidP="00360D7C">
            <w:pPr>
              <w:jc w:val="center"/>
              <w:rPr>
                <w:rFonts w:cs="Times New Roman"/>
                <w:color w:val="000000" w:themeColor="text1"/>
                <w:sz w:val="22"/>
              </w:rPr>
            </w:pPr>
            <w:r w:rsidRPr="00E14DE7">
              <w:rPr>
                <w:rFonts w:cs="Times New Roman"/>
              </w:rPr>
              <w:br w:type="column"/>
            </w:r>
            <w:r w:rsidRPr="00E14DE7">
              <w:rPr>
                <w:rFonts w:cs="Times New Roman"/>
                <w:b/>
                <w:bCs/>
              </w:rPr>
              <w:t>No.</w:t>
            </w:r>
          </w:p>
        </w:tc>
        <w:tc>
          <w:tcPr>
            <w:tcW w:w="574" w:type="pct"/>
            <w:shd w:val="clear" w:color="auto" w:fill="8D0E3B"/>
          </w:tcPr>
          <w:p w14:paraId="2D0DB6D3" w14:textId="1490B518" w:rsidR="00457417" w:rsidRPr="00E14DE7" w:rsidRDefault="00457417" w:rsidP="00360D7C">
            <w:pPr>
              <w:widowControl w:val="0"/>
              <w:adjustRightInd w:val="0"/>
              <w:snapToGrid w:val="0"/>
              <w:spacing w:before="60" w:after="60"/>
              <w:jc w:val="center"/>
              <w:rPr>
                <w:rFonts w:cs="Times New Roman"/>
                <w:sz w:val="22"/>
              </w:rPr>
            </w:pPr>
            <w:r w:rsidRPr="00E14DE7">
              <w:rPr>
                <w:rFonts w:cs="Times New Roman"/>
                <w:b/>
                <w:sz w:val="22"/>
              </w:rPr>
              <w:t xml:space="preserve">Article/Clause of Regulation 218 </w:t>
            </w:r>
          </w:p>
        </w:tc>
        <w:tc>
          <w:tcPr>
            <w:tcW w:w="1167" w:type="pct"/>
            <w:shd w:val="clear" w:color="auto" w:fill="8D0E3B"/>
          </w:tcPr>
          <w:p w14:paraId="022B9992" w14:textId="087AEA9E" w:rsidR="00457417" w:rsidRPr="00E14DE7" w:rsidRDefault="00457417" w:rsidP="00360D7C">
            <w:pPr>
              <w:widowControl w:val="0"/>
              <w:adjustRightInd w:val="0"/>
              <w:snapToGrid w:val="0"/>
              <w:spacing w:before="60" w:after="60"/>
              <w:jc w:val="center"/>
              <w:rPr>
                <w:rFonts w:cs="Times New Roman"/>
                <w:bCs/>
                <w:color w:val="000000" w:themeColor="text1"/>
                <w:sz w:val="22"/>
              </w:rPr>
            </w:pPr>
            <w:r w:rsidRPr="00E14DE7">
              <w:rPr>
                <w:rFonts w:cs="Times New Roman"/>
                <w:b/>
                <w:sz w:val="22"/>
              </w:rPr>
              <w:t>Regulation 218</w:t>
            </w:r>
          </w:p>
        </w:tc>
        <w:tc>
          <w:tcPr>
            <w:tcW w:w="2011" w:type="pct"/>
            <w:shd w:val="clear" w:color="auto" w:fill="8D0E3B"/>
          </w:tcPr>
          <w:p w14:paraId="5DAF17A5" w14:textId="6E8767E4" w:rsidR="00457417" w:rsidRPr="00E14DE7" w:rsidRDefault="00457417" w:rsidP="00360D7C">
            <w:pPr>
              <w:widowControl w:val="0"/>
              <w:adjustRightInd w:val="0"/>
              <w:snapToGrid w:val="0"/>
              <w:spacing w:before="60" w:after="60"/>
              <w:jc w:val="center"/>
              <w:rPr>
                <w:rFonts w:cs="Times New Roman"/>
                <w:bCs/>
                <w:color w:val="000000" w:themeColor="text1"/>
                <w:sz w:val="22"/>
              </w:rPr>
            </w:pPr>
            <w:r w:rsidRPr="00E14DE7">
              <w:rPr>
                <w:rFonts w:cs="Times New Roman"/>
                <w:b/>
                <w:sz w:val="22"/>
              </w:rPr>
              <w:t>Draft of Revised Regulation to the Regulation 218</w:t>
            </w:r>
          </w:p>
        </w:tc>
        <w:tc>
          <w:tcPr>
            <w:tcW w:w="1033" w:type="pct"/>
            <w:shd w:val="clear" w:color="auto" w:fill="8D0E3B"/>
          </w:tcPr>
          <w:p w14:paraId="212AED79" w14:textId="5BA99461" w:rsidR="00457417" w:rsidRPr="00E14DE7" w:rsidRDefault="00457417" w:rsidP="00360D7C">
            <w:pPr>
              <w:widowControl w:val="0"/>
              <w:adjustRightInd w:val="0"/>
              <w:snapToGrid w:val="0"/>
              <w:spacing w:before="60" w:after="60"/>
              <w:jc w:val="center"/>
              <w:rPr>
                <w:rFonts w:cs="Times New Roman"/>
                <w:color w:val="000000" w:themeColor="text1"/>
                <w:sz w:val="22"/>
              </w:rPr>
            </w:pPr>
            <w:r w:rsidRPr="00E14DE7">
              <w:rPr>
                <w:rFonts w:cs="Times New Roman"/>
                <w:b/>
                <w:sz w:val="22"/>
              </w:rPr>
              <w:t>Reason/Recitals for amendment</w:t>
            </w:r>
          </w:p>
        </w:tc>
      </w:tr>
      <w:tr w:rsidR="00C301A3" w:rsidRPr="00E14DE7" w14:paraId="2FA4A1BA" w14:textId="77777777" w:rsidTr="00EB2EA0">
        <w:trPr>
          <w:trHeight w:val="20"/>
        </w:trPr>
        <w:tc>
          <w:tcPr>
            <w:tcW w:w="215" w:type="pct"/>
          </w:tcPr>
          <w:p w14:paraId="1F851385" w14:textId="77777777" w:rsidR="00F96D90" w:rsidRPr="00E14DE7" w:rsidRDefault="00F96D90" w:rsidP="005821C8">
            <w:pPr>
              <w:rPr>
                <w:rFonts w:cs="Times New Roman"/>
                <w:color w:val="000000" w:themeColor="text1"/>
                <w:sz w:val="22"/>
              </w:rPr>
            </w:pPr>
          </w:p>
        </w:tc>
        <w:tc>
          <w:tcPr>
            <w:tcW w:w="574" w:type="pct"/>
          </w:tcPr>
          <w:p w14:paraId="4F4A89B1" w14:textId="76661628" w:rsidR="00F96D90" w:rsidRPr="00E14DE7" w:rsidRDefault="00F96D90" w:rsidP="00C301A3">
            <w:pPr>
              <w:widowControl w:val="0"/>
              <w:adjustRightInd w:val="0"/>
              <w:snapToGrid w:val="0"/>
              <w:spacing w:before="60" w:after="60"/>
              <w:jc w:val="both"/>
              <w:rPr>
                <w:rFonts w:cs="Times New Roman"/>
                <w:noProof/>
                <w:sz w:val="22"/>
              </w:rPr>
            </w:pPr>
            <w:r w:rsidRPr="00E14DE7">
              <w:rPr>
                <w:rFonts w:cs="Times New Roman"/>
                <w:sz w:val="22"/>
              </w:rPr>
              <w:t>Recitals</w:t>
            </w:r>
          </w:p>
        </w:tc>
        <w:tc>
          <w:tcPr>
            <w:tcW w:w="1167" w:type="pct"/>
          </w:tcPr>
          <w:p w14:paraId="36A6B452" w14:textId="77777777" w:rsidR="00F96D90" w:rsidRPr="00E14DE7" w:rsidRDefault="00F96D90" w:rsidP="00C301A3">
            <w:pPr>
              <w:widowControl w:val="0"/>
              <w:adjustRightInd w:val="0"/>
              <w:snapToGrid w:val="0"/>
              <w:spacing w:before="60" w:after="60"/>
              <w:jc w:val="both"/>
              <w:rPr>
                <w:rFonts w:cs="Times New Roman"/>
                <w:bCs/>
                <w:color w:val="000000" w:themeColor="text1"/>
                <w:sz w:val="22"/>
              </w:rPr>
            </w:pPr>
            <w:r w:rsidRPr="00E14DE7">
              <w:rPr>
                <w:rFonts w:cs="Times New Roman"/>
                <w:color w:val="000000" w:themeColor="text1"/>
                <w:sz w:val="22"/>
              </w:rPr>
              <w:t>Pursuant to the Law on Enterprises No. 59/2020/QH14 dated June 17, 2020;</w:t>
            </w:r>
          </w:p>
          <w:p w14:paraId="34608A40" w14:textId="77777777" w:rsidR="00F96D90" w:rsidRPr="00E14DE7" w:rsidRDefault="00F96D90" w:rsidP="00C301A3">
            <w:pPr>
              <w:widowControl w:val="0"/>
              <w:adjustRightInd w:val="0"/>
              <w:snapToGrid w:val="0"/>
              <w:spacing w:before="60" w:after="60"/>
              <w:jc w:val="both"/>
              <w:rPr>
                <w:rFonts w:cs="Times New Roman"/>
                <w:bCs/>
                <w:color w:val="000000" w:themeColor="text1"/>
                <w:sz w:val="22"/>
              </w:rPr>
            </w:pPr>
            <w:r w:rsidRPr="00E14DE7">
              <w:rPr>
                <w:rFonts w:cs="Times New Roman"/>
                <w:color w:val="000000" w:themeColor="text1"/>
                <w:sz w:val="22"/>
              </w:rPr>
              <w:t>Pursuant to the Law on Securities No. 54/2019/QH14 dated November 26, 2019;</w:t>
            </w:r>
          </w:p>
          <w:p w14:paraId="76A498A1" w14:textId="77777777" w:rsidR="00F96D90" w:rsidRPr="00E14DE7" w:rsidRDefault="00F96D90" w:rsidP="00C301A3">
            <w:pPr>
              <w:widowControl w:val="0"/>
              <w:adjustRightInd w:val="0"/>
              <w:snapToGrid w:val="0"/>
              <w:spacing w:before="60" w:after="60"/>
              <w:jc w:val="both"/>
              <w:rPr>
                <w:rFonts w:cs="Times New Roman"/>
                <w:bCs/>
                <w:color w:val="000000" w:themeColor="text1"/>
                <w:sz w:val="22"/>
              </w:rPr>
            </w:pPr>
            <w:r w:rsidRPr="00E14DE7">
              <w:rPr>
                <w:rFonts w:cs="Times New Roman"/>
                <w:color w:val="000000" w:themeColor="text1"/>
                <w:sz w:val="22"/>
              </w:rPr>
              <w:lastRenderedPageBreak/>
              <w:t xml:space="preserve">Pursuant to the Decree No. 155/2020/ND-CP of the Government dated December 31, 2020 on detailing a number of Articles of the Law on Securities and the Circular No. 116/2020/TT-BTC of the Ministry of Finance dated December 31, 2020 on detailing a number of Articles on corporate governance for the public companies in the Decree No. 155/2020/ND-CP of the Government; </w:t>
            </w:r>
          </w:p>
          <w:p w14:paraId="23806176" w14:textId="77777777" w:rsidR="00F96D90" w:rsidRPr="00E14DE7" w:rsidRDefault="00F96D90" w:rsidP="00C301A3">
            <w:pPr>
              <w:widowControl w:val="0"/>
              <w:adjustRightInd w:val="0"/>
              <w:snapToGrid w:val="0"/>
              <w:spacing w:before="60" w:after="60"/>
              <w:jc w:val="both"/>
              <w:rPr>
                <w:rFonts w:cs="Times New Roman"/>
                <w:bCs/>
                <w:color w:val="000000" w:themeColor="text1"/>
                <w:sz w:val="22"/>
              </w:rPr>
            </w:pPr>
            <w:r w:rsidRPr="00E14DE7">
              <w:rPr>
                <w:rFonts w:cs="Times New Roman"/>
                <w:color w:val="000000" w:themeColor="text1"/>
                <w:sz w:val="22"/>
              </w:rPr>
              <w:t>Pursuant to Petrolimex's Charter approved on April 26, 2021 by the General Meeting of Shareholders;</w:t>
            </w:r>
          </w:p>
          <w:p w14:paraId="799123DD" w14:textId="748CF0D3" w:rsidR="00F96D90" w:rsidRPr="00E14DE7" w:rsidRDefault="00F96D90" w:rsidP="00C301A3">
            <w:pPr>
              <w:jc w:val="both"/>
              <w:rPr>
                <w:rFonts w:cs="Times New Roman"/>
                <w:noProof/>
                <w:sz w:val="22"/>
              </w:rPr>
            </w:pPr>
            <w:r w:rsidRPr="00E14DE7">
              <w:rPr>
                <w:rFonts w:cs="Times New Roman"/>
                <w:color w:val="000000" w:themeColor="text1"/>
                <w:sz w:val="22"/>
              </w:rPr>
              <w:t xml:space="preserve"> Pursuant to the Resolution No. 01/2021/PLX-NQ-</w:t>
            </w:r>
            <w:r w:rsidR="0004272D" w:rsidRPr="00E14DE7">
              <w:rPr>
                <w:rFonts w:cs="Times New Roman"/>
                <w:color w:val="000000" w:themeColor="text1"/>
                <w:sz w:val="22"/>
              </w:rPr>
              <w:t>D</w:t>
            </w:r>
            <w:r w:rsidRPr="00E14DE7">
              <w:rPr>
                <w:rFonts w:cs="Times New Roman"/>
                <w:color w:val="000000" w:themeColor="text1"/>
                <w:sz w:val="22"/>
              </w:rPr>
              <w:t>H</w:t>
            </w:r>
            <w:r w:rsidR="0004272D" w:rsidRPr="00E14DE7">
              <w:rPr>
                <w:rFonts w:cs="Times New Roman"/>
                <w:color w:val="000000" w:themeColor="text1"/>
                <w:sz w:val="22"/>
              </w:rPr>
              <w:t>D</w:t>
            </w:r>
            <w:r w:rsidRPr="00E14DE7">
              <w:rPr>
                <w:rFonts w:cs="Times New Roman"/>
                <w:color w:val="000000" w:themeColor="text1"/>
                <w:sz w:val="22"/>
              </w:rPr>
              <w:t>C</w:t>
            </w:r>
            <w:r w:rsidR="0004272D" w:rsidRPr="00E14DE7">
              <w:rPr>
                <w:rFonts w:cs="Times New Roman"/>
                <w:color w:val="000000" w:themeColor="text1"/>
                <w:sz w:val="22"/>
              </w:rPr>
              <w:t>D</w:t>
            </w:r>
            <w:r w:rsidRPr="00E14DE7">
              <w:rPr>
                <w:rFonts w:cs="Times New Roman"/>
                <w:color w:val="000000" w:themeColor="text1"/>
                <w:sz w:val="22"/>
              </w:rPr>
              <w:t xml:space="preserve"> of the Annual General Meeting of Shareholders dated April 26, 2021 of Petrolimex,</w:t>
            </w:r>
          </w:p>
        </w:tc>
        <w:tc>
          <w:tcPr>
            <w:tcW w:w="2011" w:type="pct"/>
          </w:tcPr>
          <w:p w14:paraId="0F76CEFB" w14:textId="0393C270" w:rsidR="00F96D90" w:rsidRPr="00E14DE7" w:rsidRDefault="00F96D90" w:rsidP="00C301A3">
            <w:pPr>
              <w:widowControl w:val="0"/>
              <w:adjustRightInd w:val="0"/>
              <w:snapToGrid w:val="0"/>
              <w:spacing w:before="60" w:after="60"/>
              <w:jc w:val="both"/>
              <w:rPr>
                <w:rFonts w:cs="Times New Roman"/>
                <w:bCs/>
                <w:color w:val="000000" w:themeColor="text1"/>
                <w:sz w:val="22"/>
              </w:rPr>
            </w:pPr>
            <w:r w:rsidRPr="00E14DE7">
              <w:rPr>
                <w:rFonts w:cs="Times New Roman"/>
                <w:color w:val="000000" w:themeColor="text1"/>
                <w:sz w:val="22"/>
              </w:rPr>
              <w:lastRenderedPageBreak/>
              <w:t xml:space="preserve">Pursuant to the Law on Enterprises No. 59/2020/QH14 dated June 17, 2020, the Law No. 76/2025/QH15 dated June 17, 2025 </w:t>
            </w:r>
            <w:r w:rsidR="00D07C73" w:rsidRPr="00E14DE7">
              <w:rPr>
                <w:rFonts w:cs="Times New Roman"/>
                <w:color w:val="000000" w:themeColor="text1"/>
                <w:sz w:val="22"/>
              </w:rPr>
              <w:t>and its amendments, supplements or replacements (if any) from time to time</w:t>
            </w:r>
            <w:r w:rsidR="00F82FC6" w:rsidRPr="00E14DE7">
              <w:rPr>
                <w:rFonts w:cs="Times New Roman"/>
                <w:color w:val="000000" w:themeColor="text1"/>
                <w:sz w:val="22"/>
              </w:rPr>
              <w:t>;</w:t>
            </w:r>
          </w:p>
          <w:p w14:paraId="5BEF2336" w14:textId="783ABD41" w:rsidR="00F96D90" w:rsidRPr="00E14DE7" w:rsidRDefault="00F96D90" w:rsidP="00C301A3">
            <w:pPr>
              <w:widowControl w:val="0"/>
              <w:adjustRightInd w:val="0"/>
              <w:snapToGrid w:val="0"/>
              <w:spacing w:before="60" w:after="60"/>
              <w:jc w:val="both"/>
              <w:rPr>
                <w:rFonts w:cs="Times New Roman"/>
                <w:bCs/>
                <w:color w:val="000000" w:themeColor="text1"/>
                <w:sz w:val="22"/>
              </w:rPr>
            </w:pPr>
            <w:r w:rsidRPr="00E14DE7">
              <w:rPr>
                <w:rFonts w:cs="Times New Roman"/>
                <w:color w:val="000000" w:themeColor="text1"/>
                <w:sz w:val="22"/>
              </w:rPr>
              <w:t xml:space="preserve">Pursuant to the Law on Securities No. 54/2019/QH14 dated November 26, 2019, </w:t>
            </w:r>
            <w:r w:rsidRPr="00E14DE7">
              <w:rPr>
                <w:rFonts w:cs="Times New Roman"/>
                <w:color w:val="000000" w:themeColor="text1"/>
                <w:sz w:val="22"/>
                <w:u w:val="single"/>
              </w:rPr>
              <w:t xml:space="preserve">the Law No. 56/2024/QH15 </w:t>
            </w:r>
            <w:r w:rsidRPr="00E14DE7">
              <w:rPr>
                <w:rFonts w:cs="Times New Roman"/>
                <w:color w:val="000000" w:themeColor="text1"/>
                <w:sz w:val="22"/>
                <w:u w:val="single"/>
              </w:rPr>
              <w:lastRenderedPageBreak/>
              <w:t xml:space="preserve">dated November 29, 2024 </w:t>
            </w:r>
            <w:r w:rsidR="00D07C73" w:rsidRPr="00E14DE7">
              <w:rPr>
                <w:rFonts w:cs="Times New Roman"/>
                <w:color w:val="000000" w:themeColor="text1"/>
                <w:sz w:val="22"/>
                <w:u w:val="single"/>
              </w:rPr>
              <w:t>and its amendments, supplements or replacements (if any) from time to time</w:t>
            </w:r>
            <w:r w:rsidR="00F82FC6" w:rsidRPr="00E14DE7">
              <w:rPr>
                <w:rFonts w:cs="Times New Roman"/>
                <w:color w:val="000000" w:themeColor="text1"/>
                <w:sz w:val="22"/>
                <w:u w:val="single"/>
              </w:rPr>
              <w:t>;</w:t>
            </w:r>
          </w:p>
          <w:p w14:paraId="0026B905" w14:textId="18B136D9" w:rsidR="00F96D90" w:rsidRPr="00E14DE7" w:rsidRDefault="00F96D90" w:rsidP="00C301A3">
            <w:pPr>
              <w:widowControl w:val="0"/>
              <w:adjustRightInd w:val="0"/>
              <w:snapToGrid w:val="0"/>
              <w:spacing w:before="60" w:after="60"/>
              <w:jc w:val="both"/>
              <w:rPr>
                <w:rFonts w:cs="Times New Roman"/>
                <w:bCs/>
                <w:color w:val="000000" w:themeColor="text1"/>
                <w:sz w:val="22"/>
              </w:rPr>
            </w:pPr>
            <w:r w:rsidRPr="00E14DE7">
              <w:rPr>
                <w:rFonts w:cs="Times New Roman"/>
                <w:color w:val="000000" w:themeColor="text1"/>
                <w:sz w:val="22"/>
              </w:rPr>
              <w:t xml:space="preserve">Pursuant </w:t>
            </w:r>
            <w:r w:rsidRPr="00E14DE7">
              <w:rPr>
                <w:rFonts w:cs="Times New Roman"/>
                <w:color w:val="000000" w:themeColor="text1"/>
                <w:sz w:val="22"/>
                <w:u w:val="single"/>
              </w:rPr>
              <w:t xml:space="preserve">to the Law on Management and Investment of State Capital in Enterprises No. 68/2025/QH15 dated June 14, 2025 </w:t>
            </w:r>
            <w:r w:rsidR="00D07C73" w:rsidRPr="00E14DE7">
              <w:rPr>
                <w:rFonts w:cs="Times New Roman"/>
                <w:color w:val="000000" w:themeColor="text1"/>
                <w:sz w:val="22"/>
                <w:u w:val="single"/>
              </w:rPr>
              <w:t>and its amendments, supplements or replacements (if any) from time to time</w:t>
            </w:r>
            <w:r w:rsidR="00F82FC6" w:rsidRPr="00E14DE7">
              <w:rPr>
                <w:rFonts w:cs="Times New Roman"/>
                <w:color w:val="000000" w:themeColor="text1"/>
                <w:sz w:val="22"/>
                <w:u w:val="single"/>
              </w:rPr>
              <w:t>;</w:t>
            </w:r>
          </w:p>
          <w:p w14:paraId="6894A598" w14:textId="01F53BF6" w:rsidR="00F96D90" w:rsidRPr="00E14DE7" w:rsidRDefault="00F96D90" w:rsidP="00C301A3">
            <w:pPr>
              <w:widowControl w:val="0"/>
              <w:adjustRightInd w:val="0"/>
              <w:snapToGrid w:val="0"/>
              <w:spacing w:before="60" w:after="60"/>
              <w:jc w:val="both"/>
              <w:rPr>
                <w:rFonts w:cs="Times New Roman"/>
                <w:bCs/>
                <w:color w:val="000000" w:themeColor="text1"/>
                <w:sz w:val="22"/>
              </w:rPr>
            </w:pPr>
            <w:r w:rsidRPr="00E14DE7">
              <w:rPr>
                <w:rFonts w:cs="Times New Roman"/>
                <w:color w:val="000000" w:themeColor="text1"/>
                <w:sz w:val="22"/>
              </w:rPr>
              <w:t>Pursuant to the Decree No. 155/2020/N</w:t>
            </w:r>
            <w:r w:rsidR="0004272D" w:rsidRPr="00E14DE7">
              <w:rPr>
                <w:rFonts w:cs="Times New Roman"/>
                <w:color w:val="000000" w:themeColor="text1"/>
                <w:sz w:val="22"/>
              </w:rPr>
              <w:t>D</w:t>
            </w:r>
            <w:r w:rsidRPr="00E14DE7">
              <w:rPr>
                <w:rFonts w:cs="Times New Roman"/>
                <w:color w:val="000000" w:themeColor="text1"/>
                <w:sz w:val="22"/>
              </w:rPr>
              <w:t xml:space="preserve">-CP of the </w:t>
            </w:r>
            <w:r w:rsidR="00F82FC6" w:rsidRPr="00E14DE7">
              <w:rPr>
                <w:rFonts w:cs="Times New Roman"/>
                <w:color w:val="000000" w:themeColor="text1"/>
                <w:sz w:val="22"/>
              </w:rPr>
              <w:t>Government</w:t>
            </w:r>
            <w:r w:rsidRPr="00E14DE7">
              <w:rPr>
                <w:rFonts w:cs="Times New Roman"/>
                <w:color w:val="000000" w:themeColor="text1"/>
                <w:sz w:val="22"/>
              </w:rPr>
              <w:t xml:space="preserve"> dated December 31, 2020 on detailing the implementation of a number of Articles of the Law on Securities, the </w:t>
            </w:r>
            <w:r w:rsidRPr="00E14DE7">
              <w:rPr>
                <w:rFonts w:cs="Times New Roman"/>
                <w:color w:val="000000" w:themeColor="text1"/>
                <w:sz w:val="22"/>
                <w:u w:val="single"/>
              </w:rPr>
              <w:t>Decree No. 245/2025/N</w:t>
            </w:r>
            <w:r w:rsidR="0004272D" w:rsidRPr="00E14DE7">
              <w:rPr>
                <w:rFonts w:cs="Times New Roman"/>
                <w:color w:val="000000" w:themeColor="text1"/>
                <w:sz w:val="22"/>
                <w:u w:val="single"/>
              </w:rPr>
              <w:t>D</w:t>
            </w:r>
            <w:r w:rsidRPr="00E14DE7">
              <w:rPr>
                <w:rFonts w:cs="Times New Roman"/>
                <w:color w:val="000000" w:themeColor="text1"/>
                <w:sz w:val="22"/>
                <w:u w:val="single"/>
              </w:rPr>
              <w:t>-CP of the Government dated September 11, 2025 on amending and supplementing a number of Articles of the Decree No. 155/2020/N</w:t>
            </w:r>
            <w:r w:rsidR="0004272D" w:rsidRPr="00E14DE7">
              <w:rPr>
                <w:rFonts w:cs="Times New Roman"/>
                <w:color w:val="000000" w:themeColor="text1"/>
                <w:sz w:val="22"/>
                <w:u w:val="single"/>
              </w:rPr>
              <w:t>D</w:t>
            </w:r>
            <w:r w:rsidRPr="00E14DE7">
              <w:rPr>
                <w:rFonts w:cs="Times New Roman"/>
                <w:color w:val="000000" w:themeColor="text1"/>
                <w:sz w:val="22"/>
                <w:u w:val="single"/>
              </w:rPr>
              <w:t>-CP of the Government dated December 31, 2025 on detailing the implementation of a number of Articles of the Law on Securities</w:t>
            </w:r>
            <w:r w:rsidRPr="00E14DE7">
              <w:rPr>
                <w:rFonts w:cs="Times New Roman"/>
                <w:color w:val="000000" w:themeColor="text1"/>
                <w:sz w:val="22"/>
              </w:rPr>
              <w:t>, the Circular No. 116/2020/TT-BTC of the Ministry of Finance dated December 31, 2020 guidelines for implementation of some articles on administration o</w:t>
            </w:r>
            <w:r w:rsidR="00357269" w:rsidRPr="00E14DE7">
              <w:rPr>
                <w:rFonts w:cs="Times New Roman"/>
                <w:color w:val="000000" w:themeColor="text1"/>
                <w:sz w:val="22"/>
              </w:rPr>
              <w:t>f</w:t>
            </w:r>
            <w:r w:rsidRPr="00E14DE7">
              <w:rPr>
                <w:rFonts w:cs="Times New Roman"/>
                <w:color w:val="000000" w:themeColor="text1"/>
                <w:sz w:val="22"/>
              </w:rPr>
              <w:t xml:space="preserve"> public companies in the Decree No. 155/2020/ND-CP of the Government </w:t>
            </w:r>
            <w:r w:rsidR="00D07C73" w:rsidRPr="00E14DE7">
              <w:rPr>
                <w:rFonts w:cs="Times New Roman"/>
                <w:color w:val="000000" w:themeColor="text1"/>
                <w:sz w:val="22"/>
                <w:u w:val="single"/>
              </w:rPr>
              <w:t>and its amendments, supplements or replacements (if any) from time to time</w:t>
            </w:r>
            <w:r w:rsidR="00F82FC6" w:rsidRPr="00E14DE7">
              <w:rPr>
                <w:rFonts w:cs="Times New Roman"/>
                <w:color w:val="000000" w:themeColor="text1"/>
                <w:sz w:val="22"/>
                <w:u w:val="single"/>
              </w:rPr>
              <w:t>;</w:t>
            </w:r>
            <w:r w:rsidRPr="00E14DE7">
              <w:rPr>
                <w:rFonts w:cs="Times New Roman"/>
                <w:color w:val="000000" w:themeColor="text1"/>
                <w:sz w:val="22"/>
              </w:rPr>
              <w:t xml:space="preserve"> </w:t>
            </w:r>
          </w:p>
          <w:p w14:paraId="29A19B94" w14:textId="77777777" w:rsidR="00F96D90" w:rsidRPr="00E14DE7" w:rsidRDefault="00F96D90" w:rsidP="00C301A3">
            <w:pPr>
              <w:widowControl w:val="0"/>
              <w:adjustRightInd w:val="0"/>
              <w:snapToGrid w:val="0"/>
              <w:spacing w:before="60" w:after="60"/>
              <w:jc w:val="both"/>
              <w:rPr>
                <w:rFonts w:cs="Times New Roman"/>
                <w:bCs/>
                <w:color w:val="000000" w:themeColor="text1"/>
                <w:sz w:val="22"/>
              </w:rPr>
            </w:pPr>
            <w:r w:rsidRPr="00E14DE7">
              <w:rPr>
                <w:rFonts w:cs="Times New Roman"/>
                <w:color w:val="000000" w:themeColor="text1"/>
                <w:sz w:val="22"/>
              </w:rPr>
              <w:t>Pursuant to Petrolimex's Charter approved on  dated....../....../2026 by the General Meeting of Shareholders;</w:t>
            </w:r>
          </w:p>
          <w:p w14:paraId="5019C9F3" w14:textId="0CEC0A1B" w:rsidR="00F96D90" w:rsidRPr="00E14DE7" w:rsidRDefault="00F96D90" w:rsidP="00C301A3">
            <w:pPr>
              <w:jc w:val="both"/>
              <w:rPr>
                <w:rFonts w:cs="Times New Roman"/>
                <w:b/>
                <w:bCs/>
                <w:noProof/>
                <w:sz w:val="22"/>
              </w:rPr>
            </w:pPr>
            <w:r w:rsidRPr="00E14DE7">
              <w:rPr>
                <w:rFonts w:cs="Times New Roman"/>
                <w:color w:val="000000" w:themeColor="text1"/>
                <w:sz w:val="22"/>
              </w:rPr>
              <w:t>Pursuant to the Resolution No. […] of the Annual General Meeting of Shareholders dated.]/ […] /[2026] of Petrolimex.</w:t>
            </w:r>
          </w:p>
        </w:tc>
        <w:tc>
          <w:tcPr>
            <w:tcW w:w="1033" w:type="pct"/>
          </w:tcPr>
          <w:p w14:paraId="08654214" w14:textId="564C63AE" w:rsidR="00F96D90" w:rsidRPr="00E14DE7" w:rsidRDefault="00F96D90" w:rsidP="00C301A3">
            <w:pPr>
              <w:widowControl w:val="0"/>
              <w:adjustRightInd w:val="0"/>
              <w:snapToGrid w:val="0"/>
              <w:spacing w:before="60" w:after="60"/>
              <w:jc w:val="both"/>
              <w:rPr>
                <w:rFonts w:cs="Times New Roman"/>
                <w:noProof/>
                <w:sz w:val="22"/>
              </w:rPr>
            </w:pPr>
            <w:r w:rsidRPr="00E14DE7">
              <w:rPr>
                <w:rFonts w:cs="Times New Roman"/>
                <w:color w:val="000000" w:themeColor="text1"/>
                <w:sz w:val="22"/>
              </w:rPr>
              <w:lastRenderedPageBreak/>
              <w:t>Further supplement the applicable legal documents as recitals to promulgate the Internal Governance Regulation of Petrolimex.</w:t>
            </w:r>
          </w:p>
        </w:tc>
      </w:tr>
      <w:tr w:rsidR="00C301A3" w:rsidRPr="00E14DE7" w14:paraId="3ECB7D35" w14:textId="77777777" w:rsidTr="00EB2EA0">
        <w:trPr>
          <w:trHeight w:val="20"/>
        </w:trPr>
        <w:tc>
          <w:tcPr>
            <w:tcW w:w="215" w:type="pct"/>
          </w:tcPr>
          <w:p w14:paraId="2EEB453F" w14:textId="77777777" w:rsidR="00202C5D" w:rsidRPr="00E14DE7" w:rsidRDefault="00202C5D" w:rsidP="00EB2EA0">
            <w:pPr>
              <w:pStyle w:val="ListParagraph"/>
              <w:widowControl w:val="0"/>
              <w:numPr>
                <w:ilvl w:val="0"/>
                <w:numId w:val="37"/>
              </w:numPr>
              <w:adjustRightInd w:val="0"/>
              <w:snapToGrid w:val="0"/>
              <w:spacing w:before="60" w:after="60"/>
              <w:jc w:val="center"/>
              <w:rPr>
                <w:rFonts w:cs="Times New Roman"/>
                <w:color w:val="000000" w:themeColor="text1"/>
                <w:sz w:val="22"/>
              </w:rPr>
            </w:pPr>
          </w:p>
        </w:tc>
        <w:tc>
          <w:tcPr>
            <w:tcW w:w="574" w:type="pct"/>
          </w:tcPr>
          <w:p w14:paraId="12CC5835" w14:textId="6D9BF1F1" w:rsidR="00202C5D" w:rsidRPr="00E14DE7" w:rsidRDefault="00202C5D" w:rsidP="00C301A3">
            <w:pPr>
              <w:widowControl w:val="0"/>
              <w:adjustRightInd w:val="0"/>
              <w:snapToGrid w:val="0"/>
              <w:spacing w:before="60" w:after="60"/>
              <w:jc w:val="both"/>
              <w:rPr>
                <w:rFonts w:cs="Times New Roman"/>
                <w:color w:val="000000" w:themeColor="text1"/>
                <w:sz w:val="22"/>
              </w:rPr>
            </w:pPr>
            <w:r w:rsidRPr="00E14DE7">
              <w:rPr>
                <w:rFonts w:cs="Times New Roman"/>
                <w:sz w:val="22"/>
              </w:rPr>
              <w:t>Article 2, Clause 1, point a</w:t>
            </w:r>
          </w:p>
        </w:tc>
        <w:tc>
          <w:tcPr>
            <w:tcW w:w="1167" w:type="pct"/>
          </w:tcPr>
          <w:p w14:paraId="129D9973" w14:textId="77777777" w:rsidR="00202C5D" w:rsidRPr="00E14DE7" w:rsidRDefault="00202C5D" w:rsidP="00C301A3">
            <w:pPr>
              <w:jc w:val="both"/>
              <w:rPr>
                <w:rFonts w:cs="Times New Roman"/>
                <w:b/>
                <w:bCs/>
                <w:noProof/>
                <w:sz w:val="22"/>
              </w:rPr>
            </w:pPr>
            <w:r w:rsidRPr="00E14DE7">
              <w:rPr>
                <w:rFonts w:cs="Times New Roman"/>
                <w:b/>
                <w:sz w:val="22"/>
              </w:rPr>
              <w:t>Article 2. Definitions</w:t>
            </w:r>
          </w:p>
          <w:p w14:paraId="43147DA9" w14:textId="77777777" w:rsidR="00202C5D" w:rsidRPr="00E14DE7" w:rsidRDefault="00202C5D" w:rsidP="00C301A3">
            <w:pPr>
              <w:jc w:val="both"/>
              <w:rPr>
                <w:rFonts w:cs="Times New Roman"/>
                <w:noProof/>
                <w:sz w:val="22"/>
              </w:rPr>
            </w:pPr>
            <w:r w:rsidRPr="00E14DE7">
              <w:rPr>
                <w:rFonts w:cs="Times New Roman"/>
                <w:sz w:val="22"/>
              </w:rPr>
              <w:t>1. As used herein, the following terms are interpreted as follows:</w:t>
            </w:r>
          </w:p>
          <w:p w14:paraId="04258EAB" w14:textId="3809F1C2" w:rsidR="00202C5D" w:rsidRPr="00E14DE7" w:rsidRDefault="00202C5D" w:rsidP="00C301A3">
            <w:pPr>
              <w:jc w:val="both"/>
              <w:rPr>
                <w:rFonts w:cs="Times New Roman"/>
                <w:noProof/>
                <w:sz w:val="22"/>
              </w:rPr>
            </w:pPr>
            <w:r w:rsidRPr="00E14DE7">
              <w:rPr>
                <w:rFonts w:cs="Times New Roman"/>
                <w:sz w:val="22"/>
              </w:rPr>
              <w:t xml:space="preserve">a) “Group governance” refers to a system of rules, ensuring that Petrolimex is managed, directed and controlled effectively for the </w:t>
            </w:r>
            <w:r w:rsidRPr="00E14DE7">
              <w:rPr>
                <w:rFonts w:cs="Times New Roman"/>
                <w:sz w:val="22"/>
              </w:rPr>
              <w:lastRenderedPageBreak/>
              <w:t xml:space="preserve">benefit of </w:t>
            </w:r>
            <w:r w:rsidR="00B16CB3" w:rsidRPr="00E14DE7">
              <w:rPr>
                <w:rFonts w:cs="Times New Roman"/>
                <w:sz w:val="22"/>
              </w:rPr>
              <w:t>shareholders and its affiliated persons</w:t>
            </w:r>
            <w:r w:rsidRPr="00E14DE7">
              <w:rPr>
                <w:rFonts w:cs="Times New Roman"/>
                <w:sz w:val="22"/>
              </w:rPr>
              <w:t>. Governance principles of Petrolimex include:</w:t>
            </w:r>
          </w:p>
          <w:p w14:paraId="2FDEFA88" w14:textId="77777777" w:rsidR="00202C5D" w:rsidRPr="00E14DE7" w:rsidRDefault="00202C5D" w:rsidP="00C301A3">
            <w:pPr>
              <w:jc w:val="both"/>
              <w:rPr>
                <w:rFonts w:cs="Times New Roman"/>
                <w:noProof/>
                <w:sz w:val="22"/>
              </w:rPr>
            </w:pPr>
            <w:r w:rsidRPr="00E14DE7">
              <w:rPr>
                <w:rFonts w:cs="Times New Roman"/>
                <w:sz w:val="22"/>
              </w:rPr>
              <w:t>- Ensure an effective governance structure;</w:t>
            </w:r>
          </w:p>
          <w:p w14:paraId="183E0707" w14:textId="77777777" w:rsidR="00202C5D" w:rsidRPr="00E14DE7" w:rsidRDefault="00202C5D" w:rsidP="00C301A3">
            <w:pPr>
              <w:jc w:val="both"/>
              <w:rPr>
                <w:rFonts w:cs="Times New Roman"/>
                <w:noProof/>
                <w:sz w:val="22"/>
              </w:rPr>
            </w:pPr>
            <w:r w:rsidRPr="00E14DE7">
              <w:rPr>
                <w:rFonts w:cs="Times New Roman"/>
                <w:sz w:val="22"/>
              </w:rPr>
              <w:t>- Protect shareholders’ rights;</w:t>
            </w:r>
          </w:p>
          <w:p w14:paraId="1EA0664C" w14:textId="77777777" w:rsidR="00202C5D" w:rsidRPr="00E14DE7" w:rsidRDefault="00202C5D" w:rsidP="00C301A3">
            <w:pPr>
              <w:jc w:val="both"/>
              <w:rPr>
                <w:rFonts w:cs="Times New Roman"/>
                <w:noProof/>
                <w:sz w:val="22"/>
              </w:rPr>
            </w:pPr>
            <w:r w:rsidRPr="00E14DE7">
              <w:rPr>
                <w:rFonts w:cs="Times New Roman"/>
                <w:sz w:val="22"/>
              </w:rPr>
              <w:t>- Ensure equitable treatment of shareholders;</w:t>
            </w:r>
          </w:p>
          <w:p w14:paraId="0A81216B" w14:textId="77777777" w:rsidR="00202C5D" w:rsidRPr="00E14DE7" w:rsidRDefault="00202C5D" w:rsidP="00C301A3">
            <w:pPr>
              <w:jc w:val="both"/>
              <w:rPr>
                <w:rFonts w:cs="Times New Roman"/>
                <w:noProof/>
                <w:sz w:val="22"/>
              </w:rPr>
            </w:pPr>
            <w:r w:rsidRPr="00E14DE7">
              <w:rPr>
                <w:rFonts w:cs="Times New Roman"/>
                <w:sz w:val="22"/>
              </w:rPr>
              <w:t>- Guarantee the role of persons with related rights to Petrolimex;</w:t>
            </w:r>
          </w:p>
          <w:p w14:paraId="16EBB501" w14:textId="77777777" w:rsidR="00202C5D" w:rsidRPr="00E14DE7" w:rsidRDefault="00202C5D" w:rsidP="00C301A3">
            <w:pPr>
              <w:jc w:val="both"/>
              <w:rPr>
                <w:rFonts w:cs="Times New Roman"/>
                <w:noProof/>
                <w:sz w:val="22"/>
              </w:rPr>
            </w:pPr>
            <w:r w:rsidRPr="00E14DE7">
              <w:rPr>
                <w:rFonts w:cs="Times New Roman"/>
                <w:sz w:val="22"/>
              </w:rPr>
              <w:t>- Ensure transparency in Petrolimex’s operations;</w:t>
            </w:r>
          </w:p>
          <w:p w14:paraId="4460A652" w14:textId="6B8BA481" w:rsidR="00202C5D" w:rsidRPr="00E14DE7" w:rsidRDefault="00202C5D" w:rsidP="00C301A3">
            <w:pPr>
              <w:widowControl w:val="0"/>
              <w:adjustRightInd w:val="0"/>
              <w:snapToGrid w:val="0"/>
              <w:spacing w:before="60" w:after="60"/>
              <w:jc w:val="both"/>
              <w:rPr>
                <w:rFonts w:cs="Times New Roman"/>
                <w:bCs/>
                <w:i/>
                <w:iCs/>
                <w:color w:val="000000"/>
                <w:sz w:val="22"/>
              </w:rPr>
            </w:pPr>
            <w:r w:rsidRPr="00E14DE7">
              <w:rPr>
                <w:rFonts w:cs="Times New Roman"/>
                <w:sz w:val="22"/>
              </w:rPr>
              <w:t>- Ensure effective leadership and oversight of Petrolimex.</w:t>
            </w:r>
          </w:p>
        </w:tc>
        <w:tc>
          <w:tcPr>
            <w:tcW w:w="2011" w:type="pct"/>
          </w:tcPr>
          <w:p w14:paraId="6732CB18" w14:textId="77777777" w:rsidR="00202C5D" w:rsidRPr="00E14DE7" w:rsidRDefault="00202C5D" w:rsidP="00C301A3">
            <w:pPr>
              <w:jc w:val="both"/>
              <w:rPr>
                <w:rFonts w:cs="Times New Roman"/>
                <w:b/>
                <w:bCs/>
                <w:noProof/>
                <w:sz w:val="22"/>
              </w:rPr>
            </w:pPr>
            <w:r w:rsidRPr="00E14DE7">
              <w:rPr>
                <w:rFonts w:cs="Times New Roman"/>
                <w:b/>
                <w:sz w:val="22"/>
              </w:rPr>
              <w:lastRenderedPageBreak/>
              <w:t>Article 2. Definitions</w:t>
            </w:r>
          </w:p>
          <w:p w14:paraId="22A636A8" w14:textId="77777777" w:rsidR="00202C5D" w:rsidRPr="00E14DE7" w:rsidRDefault="00202C5D" w:rsidP="00C301A3">
            <w:pPr>
              <w:jc w:val="both"/>
              <w:rPr>
                <w:rFonts w:cs="Times New Roman"/>
                <w:noProof/>
                <w:sz w:val="22"/>
              </w:rPr>
            </w:pPr>
            <w:r w:rsidRPr="00E14DE7">
              <w:rPr>
                <w:rFonts w:cs="Times New Roman"/>
                <w:sz w:val="22"/>
              </w:rPr>
              <w:t>1. As used herein, the following terms are interpreted as follows:</w:t>
            </w:r>
          </w:p>
          <w:p w14:paraId="5D8B83D3" w14:textId="708C6B74" w:rsidR="00202C5D" w:rsidRPr="00E14DE7" w:rsidRDefault="00202C5D" w:rsidP="00C301A3">
            <w:pPr>
              <w:spacing w:before="60" w:after="60"/>
              <w:jc w:val="both"/>
              <w:rPr>
                <w:rFonts w:cs="Times New Roman"/>
                <w:noProof/>
                <w:sz w:val="22"/>
              </w:rPr>
            </w:pPr>
            <w:r w:rsidRPr="00E14DE7">
              <w:rPr>
                <w:rFonts w:cs="Times New Roman"/>
                <w:sz w:val="22"/>
              </w:rPr>
              <w:t xml:space="preserve">a) “Group governance” refers to a system of rules, ensuring that Petrolimex is managed, directed and controlled effectively for the benefit of </w:t>
            </w:r>
            <w:r w:rsidR="00B16CB3" w:rsidRPr="00E14DE7">
              <w:rPr>
                <w:rFonts w:cs="Times New Roman"/>
                <w:sz w:val="22"/>
              </w:rPr>
              <w:t>shareholders and its affiliated persons</w:t>
            </w:r>
            <w:bookmarkStart w:id="0" w:name="_GoBack"/>
            <w:bookmarkEnd w:id="0"/>
            <w:r w:rsidRPr="00E14DE7">
              <w:rPr>
                <w:rFonts w:cs="Times New Roman"/>
                <w:sz w:val="22"/>
              </w:rPr>
              <w:t>.</w:t>
            </w:r>
          </w:p>
          <w:p w14:paraId="4C4D29B7" w14:textId="77777777" w:rsidR="00202C5D" w:rsidRPr="00E14DE7" w:rsidRDefault="00202C5D" w:rsidP="00C301A3">
            <w:pPr>
              <w:spacing w:before="60" w:after="60"/>
              <w:jc w:val="both"/>
              <w:rPr>
                <w:rFonts w:cs="Times New Roman"/>
                <w:noProof/>
                <w:sz w:val="22"/>
              </w:rPr>
            </w:pPr>
          </w:p>
          <w:p w14:paraId="4746392E" w14:textId="099E509D" w:rsidR="00202C5D" w:rsidRPr="00E14DE7" w:rsidRDefault="00202C5D" w:rsidP="00C301A3">
            <w:pPr>
              <w:jc w:val="both"/>
              <w:rPr>
                <w:rFonts w:cs="Times New Roman"/>
                <w:b/>
                <w:bCs/>
                <w:noProof/>
                <w:sz w:val="22"/>
              </w:rPr>
            </w:pPr>
            <w:r w:rsidRPr="00E14DE7">
              <w:rPr>
                <w:rFonts w:cs="Times New Roman"/>
                <w:b/>
                <w:sz w:val="22"/>
              </w:rPr>
              <w:t>Article 3. Governance principles of Petrolimex</w:t>
            </w:r>
          </w:p>
          <w:p w14:paraId="6C0C8289" w14:textId="77777777" w:rsidR="00202C5D" w:rsidRPr="00E14DE7" w:rsidRDefault="00202C5D" w:rsidP="00C301A3">
            <w:pPr>
              <w:jc w:val="both"/>
              <w:rPr>
                <w:rFonts w:cs="Times New Roman"/>
                <w:noProof/>
                <w:sz w:val="22"/>
              </w:rPr>
            </w:pPr>
            <w:r w:rsidRPr="00E14DE7">
              <w:rPr>
                <w:rFonts w:cs="Times New Roman"/>
                <w:sz w:val="22"/>
              </w:rPr>
              <w:t>Governance principles of Petrolimex include:</w:t>
            </w:r>
          </w:p>
          <w:p w14:paraId="36F8A008" w14:textId="77777777" w:rsidR="00202C5D" w:rsidRPr="00E14DE7" w:rsidRDefault="00202C5D" w:rsidP="00C301A3">
            <w:pPr>
              <w:jc w:val="both"/>
              <w:rPr>
                <w:rFonts w:cs="Times New Roman"/>
                <w:noProof/>
                <w:sz w:val="22"/>
              </w:rPr>
            </w:pPr>
            <w:r w:rsidRPr="00E14DE7">
              <w:rPr>
                <w:rFonts w:cs="Times New Roman"/>
                <w:sz w:val="22"/>
              </w:rPr>
              <w:t>1. Ensure an effective governance structure;</w:t>
            </w:r>
          </w:p>
          <w:p w14:paraId="7B2019DC" w14:textId="77777777" w:rsidR="00202C5D" w:rsidRPr="00E14DE7" w:rsidRDefault="00202C5D" w:rsidP="00C301A3">
            <w:pPr>
              <w:jc w:val="both"/>
              <w:rPr>
                <w:rFonts w:cs="Times New Roman"/>
                <w:noProof/>
                <w:sz w:val="22"/>
              </w:rPr>
            </w:pPr>
            <w:r w:rsidRPr="00E14DE7">
              <w:rPr>
                <w:rFonts w:cs="Times New Roman"/>
                <w:sz w:val="22"/>
              </w:rPr>
              <w:t>2. Protect shareholders’ rights;</w:t>
            </w:r>
          </w:p>
          <w:p w14:paraId="198D0DA7" w14:textId="77777777" w:rsidR="00202C5D" w:rsidRPr="00E14DE7" w:rsidRDefault="00202C5D" w:rsidP="00C301A3">
            <w:pPr>
              <w:jc w:val="both"/>
              <w:rPr>
                <w:rFonts w:cs="Times New Roman"/>
                <w:noProof/>
                <w:sz w:val="22"/>
              </w:rPr>
            </w:pPr>
            <w:r w:rsidRPr="00E14DE7">
              <w:rPr>
                <w:rFonts w:cs="Times New Roman"/>
                <w:sz w:val="22"/>
              </w:rPr>
              <w:t>3. Ensure equitable treatment of shareholders;</w:t>
            </w:r>
          </w:p>
          <w:p w14:paraId="5351758A" w14:textId="77777777" w:rsidR="00202C5D" w:rsidRPr="00E14DE7" w:rsidRDefault="00202C5D" w:rsidP="00C301A3">
            <w:pPr>
              <w:jc w:val="both"/>
              <w:rPr>
                <w:rFonts w:cs="Times New Roman"/>
                <w:noProof/>
                <w:sz w:val="22"/>
              </w:rPr>
            </w:pPr>
            <w:r w:rsidRPr="00E14DE7">
              <w:rPr>
                <w:rFonts w:cs="Times New Roman"/>
                <w:sz w:val="22"/>
              </w:rPr>
              <w:t>4. Guarantee the role of persons with related rights to Petrolimex;</w:t>
            </w:r>
          </w:p>
          <w:p w14:paraId="77171FF9" w14:textId="77777777" w:rsidR="00202C5D" w:rsidRPr="00E14DE7" w:rsidRDefault="00202C5D" w:rsidP="00C301A3">
            <w:pPr>
              <w:jc w:val="both"/>
              <w:rPr>
                <w:rFonts w:cs="Times New Roman"/>
                <w:noProof/>
                <w:sz w:val="22"/>
              </w:rPr>
            </w:pPr>
            <w:r w:rsidRPr="00E14DE7">
              <w:rPr>
                <w:rFonts w:cs="Times New Roman"/>
                <w:sz w:val="22"/>
              </w:rPr>
              <w:t>5. Ensure transparency in Petrolimex’s operations;</w:t>
            </w:r>
          </w:p>
          <w:p w14:paraId="4AD9730D" w14:textId="4D32826D" w:rsidR="00202C5D" w:rsidRPr="00E14DE7" w:rsidRDefault="00202C5D" w:rsidP="00C301A3">
            <w:pPr>
              <w:widowControl w:val="0"/>
              <w:adjustRightInd w:val="0"/>
              <w:snapToGrid w:val="0"/>
              <w:spacing w:before="60" w:after="60"/>
              <w:jc w:val="both"/>
              <w:rPr>
                <w:rFonts w:cs="Times New Roman"/>
                <w:bCs/>
                <w:color w:val="000000" w:themeColor="text1"/>
                <w:sz w:val="22"/>
                <w:u w:val="single"/>
              </w:rPr>
            </w:pPr>
            <w:r w:rsidRPr="00E14DE7">
              <w:rPr>
                <w:rFonts w:cs="Times New Roman"/>
                <w:sz w:val="22"/>
              </w:rPr>
              <w:t>6. Ensure effective leadership and oversight of Petrolimex.</w:t>
            </w:r>
          </w:p>
        </w:tc>
        <w:tc>
          <w:tcPr>
            <w:tcW w:w="1033" w:type="pct"/>
          </w:tcPr>
          <w:p w14:paraId="131F9CB5" w14:textId="25C269E3" w:rsidR="00202C5D" w:rsidRPr="00E14DE7" w:rsidRDefault="00202C5D" w:rsidP="00C301A3">
            <w:pPr>
              <w:widowControl w:val="0"/>
              <w:adjustRightInd w:val="0"/>
              <w:snapToGrid w:val="0"/>
              <w:spacing w:before="60" w:after="60"/>
              <w:jc w:val="both"/>
              <w:rPr>
                <w:rFonts w:cs="Times New Roman"/>
                <w:color w:val="000000" w:themeColor="text1"/>
                <w:sz w:val="22"/>
              </w:rPr>
            </w:pPr>
            <w:r w:rsidRPr="00E14DE7">
              <w:rPr>
                <w:rFonts w:cs="Times New Roman"/>
                <w:sz w:val="22"/>
              </w:rPr>
              <w:lastRenderedPageBreak/>
              <w:t xml:space="preserve">Separate the regulations on Petrolimex governance principles as a separate provision. </w:t>
            </w:r>
          </w:p>
        </w:tc>
      </w:tr>
      <w:tr w:rsidR="00C301A3" w:rsidRPr="00E14DE7" w14:paraId="5CD30CB3" w14:textId="77777777" w:rsidTr="00EB2EA0">
        <w:trPr>
          <w:trHeight w:val="20"/>
        </w:trPr>
        <w:tc>
          <w:tcPr>
            <w:tcW w:w="215" w:type="pct"/>
          </w:tcPr>
          <w:p w14:paraId="1491EDA7" w14:textId="77777777" w:rsidR="00202C5D" w:rsidRPr="00E14DE7" w:rsidRDefault="00202C5D" w:rsidP="00EB2EA0">
            <w:pPr>
              <w:pStyle w:val="ListParagraph"/>
              <w:widowControl w:val="0"/>
              <w:numPr>
                <w:ilvl w:val="0"/>
                <w:numId w:val="37"/>
              </w:numPr>
              <w:adjustRightInd w:val="0"/>
              <w:snapToGrid w:val="0"/>
              <w:spacing w:before="60" w:after="60"/>
              <w:jc w:val="center"/>
              <w:rPr>
                <w:rFonts w:cs="Times New Roman"/>
                <w:color w:val="000000" w:themeColor="text1"/>
                <w:sz w:val="22"/>
              </w:rPr>
            </w:pPr>
          </w:p>
        </w:tc>
        <w:tc>
          <w:tcPr>
            <w:tcW w:w="574" w:type="pct"/>
          </w:tcPr>
          <w:p w14:paraId="3D56CE33" w14:textId="794D5236" w:rsidR="00202C5D" w:rsidRPr="00E14DE7" w:rsidRDefault="00202C5D" w:rsidP="00C301A3">
            <w:pPr>
              <w:widowControl w:val="0"/>
              <w:adjustRightInd w:val="0"/>
              <w:snapToGrid w:val="0"/>
              <w:spacing w:before="60" w:after="60"/>
              <w:jc w:val="both"/>
              <w:rPr>
                <w:rFonts w:cs="Times New Roman"/>
                <w:noProof/>
                <w:sz w:val="22"/>
              </w:rPr>
            </w:pPr>
            <w:r w:rsidRPr="00E14DE7">
              <w:rPr>
                <w:rFonts w:cs="Times New Roman"/>
                <w:color w:val="000000" w:themeColor="text1"/>
                <w:sz w:val="22"/>
              </w:rPr>
              <w:t>Article 2, Clause 1</w:t>
            </w:r>
          </w:p>
        </w:tc>
        <w:tc>
          <w:tcPr>
            <w:tcW w:w="1167" w:type="pct"/>
          </w:tcPr>
          <w:p w14:paraId="46314CA6" w14:textId="1B909211" w:rsidR="00202C5D" w:rsidRPr="00E14DE7" w:rsidRDefault="00202C5D" w:rsidP="00C301A3">
            <w:pPr>
              <w:jc w:val="both"/>
              <w:rPr>
                <w:rFonts w:cs="Times New Roman"/>
                <w:b/>
                <w:bCs/>
                <w:noProof/>
                <w:sz w:val="22"/>
              </w:rPr>
            </w:pPr>
            <w:r w:rsidRPr="00E14DE7">
              <w:rPr>
                <w:rFonts w:cs="Times New Roman"/>
                <w:i/>
                <w:color w:val="000000"/>
                <w:sz w:val="22"/>
              </w:rPr>
              <w:t>Not specified</w:t>
            </w:r>
          </w:p>
        </w:tc>
        <w:tc>
          <w:tcPr>
            <w:tcW w:w="2011" w:type="pct"/>
          </w:tcPr>
          <w:p w14:paraId="6C565923" w14:textId="68A1CAD1" w:rsidR="00202C5D" w:rsidRPr="00E14DE7" w:rsidRDefault="00C958F8" w:rsidP="00C301A3">
            <w:pPr>
              <w:jc w:val="both"/>
              <w:rPr>
                <w:rFonts w:cs="Times New Roman"/>
                <w:b/>
                <w:bCs/>
                <w:noProof/>
                <w:sz w:val="22"/>
              </w:rPr>
            </w:pPr>
            <w:r w:rsidRPr="00E14DE7">
              <w:rPr>
                <w:rFonts w:cs="Times New Roman"/>
                <w:color w:val="000000" w:themeColor="text1"/>
                <w:sz w:val="22"/>
                <w:u w:val="single"/>
              </w:rPr>
              <w:t>b) “</w:t>
            </w:r>
            <w:r w:rsidRPr="00E14DE7">
              <w:rPr>
                <w:rFonts w:cs="Times New Roman"/>
                <w:i/>
                <w:iCs/>
                <w:color w:val="000000" w:themeColor="text1"/>
                <w:sz w:val="22"/>
                <w:u w:val="single"/>
              </w:rPr>
              <w:t>Regulation</w:t>
            </w:r>
            <w:r w:rsidRPr="00E14DE7">
              <w:rPr>
                <w:rFonts w:cs="Times New Roman"/>
                <w:color w:val="000000" w:themeColor="text1"/>
                <w:sz w:val="22"/>
                <w:u w:val="single"/>
              </w:rPr>
              <w:t>” refers to this Internal Governance Regulation of Petrolimex.</w:t>
            </w:r>
          </w:p>
        </w:tc>
        <w:tc>
          <w:tcPr>
            <w:tcW w:w="1033" w:type="pct"/>
          </w:tcPr>
          <w:p w14:paraId="47A695F1" w14:textId="061646A4" w:rsidR="00202C5D" w:rsidRPr="00E14DE7" w:rsidRDefault="00202C5D" w:rsidP="00C301A3">
            <w:pPr>
              <w:widowControl w:val="0"/>
              <w:adjustRightInd w:val="0"/>
              <w:snapToGrid w:val="0"/>
              <w:spacing w:before="60" w:after="60"/>
              <w:jc w:val="both"/>
              <w:rPr>
                <w:rFonts w:cs="Times New Roman"/>
                <w:noProof/>
                <w:sz w:val="22"/>
              </w:rPr>
            </w:pPr>
            <w:r w:rsidRPr="00E14DE7">
              <w:rPr>
                <w:rFonts w:cs="Times New Roman"/>
                <w:color w:val="000000" w:themeColor="text1"/>
                <w:sz w:val="22"/>
              </w:rPr>
              <w:t>Add the interpretation due to repeating “this Regulation” many times.</w:t>
            </w:r>
          </w:p>
        </w:tc>
      </w:tr>
      <w:tr w:rsidR="00C301A3" w:rsidRPr="00E14DE7" w14:paraId="32FB94FB" w14:textId="77777777" w:rsidTr="00EB2EA0">
        <w:trPr>
          <w:trHeight w:val="20"/>
        </w:trPr>
        <w:tc>
          <w:tcPr>
            <w:tcW w:w="215" w:type="pct"/>
          </w:tcPr>
          <w:p w14:paraId="461AACFC" w14:textId="77777777" w:rsidR="00202C5D" w:rsidRPr="00E14DE7" w:rsidRDefault="00202C5D" w:rsidP="00EB2EA0">
            <w:pPr>
              <w:pStyle w:val="ListParagraph"/>
              <w:widowControl w:val="0"/>
              <w:numPr>
                <w:ilvl w:val="0"/>
                <w:numId w:val="37"/>
              </w:numPr>
              <w:adjustRightInd w:val="0"/>
              <w:snapToGrid w:val="0"/>
              <w:spacing w:before="60" w:after="60"/>
              <w:jc w:val="center"/>
              <w:rPr>
                <w:rFonts w:cs="Times New Roman"/>
                <w:color w:val="000000" w:themeColor="text1"/>
                <w:sz w:val="22"/>
              </w:rPr>
            </w:pPr>
          </w:p>
        </w:tc>
        <w:tc>
          <w:tcPr>
            <w:tcW w:w="574" w:type="pct"/>
          </w:tcPr>
          <w:p w14:paraId="086B24DB" w14:textId="6B376C6E" w:rsidR="00202C5D" w:rsidRPr="00E14DE7" w:rsidRDefault="00202C5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Article 2, Clause 1, point b</w:t>
            </w:r>
          </w:p>
        </w:tc>
        <w:tc>
          <w:tcPr>
            <w:tcW w:w="1167" w:type="pct"/>
          </w:tcPr>
          <w:p w14:paraId="117188DA" w14:textId="27C74719" w:rsidR="00202C5D" w:rsidRPr="00E14DE7" w:rsidRDefault="00835783"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b) “Law on Enterprises” refers to the Law on Enterprises No. 59/2020/QH14 adopted on June 17, 2020 by the National Assembly of the Socialist Republic of Vietnam.</w:t>
            </w:r>
          </w:p>
        </w:tc>
        <w:tc>
          <w:tcPr>
            <w:tcW w:w="2011" w:type="pct"/>
          </w:tcPr>
          <w:p w14:paraId="4B9BDBE0" w14:textId="7E267DA9" w:rsidR="00202C5D" w:rsidRPr="00E14DE7" w:rsidRDefault="00AF0862"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 xml:space="preserve">c) “Law on Enterprises” refers to the Law on Enterprises No. 59/2020/QH14 approved on June 17, 2020 by the National Assembly of the Socialist Republic of Vietnam, </w:t>
            </w:r>
            <w:r w:rsidRPr="00E14DE7">
              <w:rPr>
                <w:rFonts w:cs="Times New Roman"/>
                <w:color w:val="000000" w:themeColor="text1"/>
                <w:sz w:val="22"/>
                <w:u w:val="single"/>
              </w:rPr>
              <w:t>the Law No. 76/2025/QH15 approved on June 17, 2025 by the National Assembly of the Socialist Republic of Vietnam and its amendment and supplement, replacement (if any) from time to time.</w:t>
            </w:r>
          </w:p>
        </w:tc>
        <w:tc>
          <w:tcPr>
            <w:tcW w:w="1033" w:type="pct"/>
          </w:tcPr>
          <w:p w14:paraId="512A37D4" w14:textId="77777777" w:rsidR="00202C5D" w:rsidRPr="00E14DE7" w:rsidRDefault="00202C5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 xml:space="preserve">The Law on Enterprises is amended and supplemented by the Law No. 76/2025/QH15 dated June 17, 2025, valid since July 1, 2025. </w:t>
            </w:r>
          </w:p>
          <w:p w14:paraId="354F018F" w14:textId="5E45FFC1" w:rsidR="00202C5D" w:rsidRPr="00E14DE7" w:rsidRDefault="00202C5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The amended contents aim to ensure the regulation's stability by automatically referring to future changes in the Law on Enterprises.</w:t>
            </w:r>
          </w:p>
        </w:tc>
      </w:tr>
      <w:tr w:rsidR="00C301A3" w:rsidRPr="00E14DE7" w14:paraId="3444C61C" w14:textId="77777777" w:rsidTr="00EB2EA0">
        <w:trPr>
          <w:trHeight w:val="20"/>
        </w:trPr>
        <w:tc>
          <w:tcPr>
            <w:tcW w:w="215" w:type="pct"/>
          </w:tcPr>
          <w:p w14:paraId="7CAFD34B" w14:textId="77777777" w:rsidR="00202C5D" w:rsidRPr="00E14DE7" w:rsidRDefault="00202C5D" w:rsidP="00EB2EA0">
            <w:pPr>
              <w:pStyle w:val="ListParagraph"/>
              <w:widowControl w:val="0"/>
              <w:numPr>
                <w:ilvl w:val="0"/>
                <w:numId w:val="37"/>
              </w:numPr>
              <w:adjustRightInd w:val="0"/>
              <w:snapToGrid w:val="0"/>
              <w:spacing w:before="60" w:after="60"/>
              <w:jc w:val="center"/>
              <w:rPr>
                <w:rFonts w:cs="Times New Roman"/>
                <w:sz w:val="22"/>
              </w:rPr>
            </w:pPr>
          </w:p>
        </w:tc>
        <w:tc>
          <w:tcPr>
            <w:tcW w:w="574" w:type="pct"/>
          </w:tcPr>
          <w:p w14:paraId="0049D611" w14:textId="7E408AC1" w:rsidR="00202C5D" w:rsidRPr="00E14DE7" w:rsidRDefault="00202C5D" w:rsidP="00C301A3">
            <w:pPr>
              <w:widowControl w:val="0"/>
              <w:adjustRightInd w:val="0"/>
              <w:snapToGrid w:val="0"/>
              <w:spacing w:before="60" w:after="60"/>
              <w:rPr>
                <w:rFonts w:cs="Times New Roman"/>
                <w:sz w:val="22"/>
              </w:rPr>
            </w:pPr>
            <w:r w:rsidRPr="00E14DE7">
              <w:rPr>
                <w:rFonts w:cs="Times New Roman"/>
                <w:sz w:val="22"/>
              </w:rPr>
              <w:t>Article 2, Clause 1, point c</w:t>
            </w:r>
          </w:p>
        </w:tc>
        <w:tc>
          <w:tcPr>
            <w:tcW w:w="1167" w:type="pct"/>
          </w:tcPr>
          <w:p w14:paraId="2BA5FA5B" w14:textId="42219096" w:rsidR="00202C5D" w:rsidRPr="00E14DE7" w:rsidRDefault="00835783"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c)</w:t>
            </w:r>
            <w:r w:rsidR="005C5219" w:rsidRPr="00E14DE7">
              <w:rPr>
                <w:rFonts w:cs="Times New Roman"/>
                <w:color w:val="000000"/>
                <w:sz w:val="22"/>
              </w:rPr>
              <w:t xml:space="preserve"> </w:t>
            </w:r>
            <w:r w:rsidRPr="00E14DE7">
              <w:rPr>
                <w:rFonts w:cs="Times New Roman"/>
                <w:color w:val="000000"/>
                <w:sz w:val="22"/>
              </w:rPr>
              <w:t>“</w:t>
            </w:r>
            <w:r w:rsidRPr="00E14DE7">
              <w:rPr>
                <w:rFonts w:cs="Times New Roman"/>
                <w:i/>
                <w:color w:val="000000"/>
                <w:sz w:val="22"/>
              </w:rPr>
              <w:t>Law on Securities</w:t>
            </w:r>
            <w:r w:rsidRPr="00E14DE7">
              <w:rPr>
                <w:rFonts w:cs="Times New Roman"/>
                <w:color w:val="000000"/>
                <w:sz w:val="22"/>
              </w:rPr>
              <w:t xml:space="preserve">” refers to the Law on Securities No. 54/2019/QH14 adopted on November 26, 2019 by the National Assembly of the </w:t>
            </w:r>
            <w:r w:rsidRPr="00E14DE7">
              <w:rPr>
                <w:rFonts w:cs="Times New Roman"/>
                <w:color w:val="000000"/>
                <w:sz w:val="22"/>
              </w:rPr>
              <w:lastRenderedPageBreak/>
              <w:t>Socialist Republic of Vietnam.</w:t>
            </w:r>
          </w:p>
        </w:tc>
        <w:tc>
          <w:tcPr>
            <w:tcW w:w="2011" w:type="pct"/>
          </w:tcPr>
          <w:p w14:paraId="19824709" w14:textId="0364BB3E" w:rsidR="00202C5D" w:rsidRPr="00E14DE7" w:rsidRDefault="00174353" w:rsidP="00C301A3">
            <w:pPr>
              <w:widowControl w:val="0"/>
              <w:adjustRightInd w:val="0"/>
              <w:snapToGrid w:val="0"/>
              <w:spacing w:before="60" w:after="60"/>
              <w:jc w:val="both"/>
              <w:rPr>
                <w:rFonts w:cs="Times New Roman"/>
                <w:bCs/>
                <w:color w:val="000000"/>
                <w:sz w:val="22"/>
              </w:rPr>
            </w:pPr>
            <w:r w:rsidRPr="00E14DE7">
              <w:rPr>
                <w:rFonts w:cs="Times New Roman"/>
                <w:sz w:val="22"/>
              </w:rPr>
              <w:lastRenderedPageBreak/>
              <w:t>d) “</w:t>
            </w:r>
            <w:r w:rsidRPr="00E14DE7">
              <w:rPr>
                <w:rFonts w:cs="Times New Roman"/>
                <w:i/>
                <w:iCs/>
                <w:sz w:val="22"/>
              </w:rPr>
              <w:t>Law on Securities</w:t>
            </w:r>
            <w:r w:rsidRPr="00E14DE7">
              <w:rPr>
                <w:rFonts w:cs="Times New Roman"/>
                <w:sz w:val="22"/>
              </w:rPr>
              <w:t xml:space="preserve">” refers to the Law on Securities No. 54/2019/QH14 approved on November 26, 2019 by the National Assembly of the Socialist Republic of Viet Nam, the </w:t>
            </w:r>
            <w:r w:rsidRPr="00E14DE7">
              <w:rPr>
                <w:rFonts w:cs="Times New Roman"/>
                <w:sz w:val="22"/>
                <w:u w:val="single"/>
              </w:rPr>
              <w:t xml:space="preserve">Law No. 56/2024/QH15 approved on November 29, 2024 by the National Assembly of the Socialist Republic </w:t>
            </w:r>
            <w:r w:rsidRPr="00E14DE7">
              <w:rPr>
                <w:rFonts w:cs="Times New Roman"/>
                <w:sz w:val="22"/>
                <w:u w:val="single"/>
              </w:rPr>
              <w:lastRenderedPageBreak/>
              <w:t>of Vietnam and its amendment</w:t>
            </w:r>
            <w:r w:rsidRPr="00E14DE7">
              <w:rPr>
                <w:rFonts w:cs="Times New Roman"/>
                <w:sz w:val="22"/>
              </w:rPr>
              <w:t xml:space="preserve"> </w:t>
            </w:r>
            <w:r w:rsidRPr="00E14DE7">
              <w:rPr>
                <w:rFonts w:cs="Times New Roman"/>
                <w:color w:val="000000" w:themeColor="text1"/>
                <w:sz w:val="22"/>
                <w:u w:val="single"/>
              </w:rPr>
              <w:t>and supplement, replacement (if any) from time to time</w:t>
            </w:r>
            <w:r w:rsidRPr="00E14DE7">
              <w:rPr>
                <w:rFonts w:cs="Times New Roman"/>
                <w:color w:val="000000" w:themeColor="text1"/>
                <w:sz w:val="22"/>
              </w:rPr>
              <w:t>.</w:t>
            </w:r>
          </w:p>
        </w:tc>
        <w:tc>
          <w:tcPr>
            <w:tcW w:w="1033" w:type="pct"/>
          </w:tcPr>
          <w:p w14:paraId="4BE298DF" w14:textId="77777777" w:rsidR="00202C5D" w:rsidRPr="00E14DE7" w:rsidRDefault="00202C5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lastRenderedPageBreak/>
              <w:t xml:space="preserve">The Law on Securities is amended and supplemented by the Law No. 56/2024/QH15 dated November 29, 2024, valid </w:t>
            </w:r>
            <w:r w:rsidRPr="00E14DE7">
              <w:rPr>
                <w:rFonts w:cs="Times New Roman"/>
                <w:color w:val="000000" w:themeColor="text1"/>
                <w:sz w:val="22"/>
              </w:rPr>
              <w:lastRenderedPageBreak/>
              <w:t xml:space="preserve">since January 1, 2025. </w:t>
            </w:r>
          </w:p>
          <w:p w14:paraId="35EBDB31" w14:textId="4F0F780E" w:rsidR="00202C5D" w:rsidRPr="00E14DE7" w:rsidRDefault="00202C5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The amended contents aim to ensure the regulation's stability by automatically referring to future changes in the Law on Securities.</w:t>
            </w:r>
          </w:p>
        </w:tc>
      </w:tr>
      <w:tr w:rsidR="00C301A3" w:rsidRPr="00E14DE7" w14:paraId="3C899211" w14:textId="77777777" w:rsidTr="00EB2EA0">
        <w:trPr>
          <w:trHeight w:val="20"/>
        </w:trPr>
        <w:tc>
          <w:tcPr>
            <w:tcW w:w="215" w:type="pct"/>
          </w:tcPr>
          <w:p w14:paraId="52CE07C5" w14:textId="77777777" w:rsidR="00202C5D" w:rsidRPr="00E14DE7" w:rsidRDefault="00202C5D" w:rsidP="00EB2EA0">
            <w:pPr>
              <w:pStyle w:val="ListParagraph"/>
              <w:widowControl w:val="0"/>
              <w:numPr>
                <w:ilvl w:val="0"/>
                <w:numId w:val="37"/>
              </w:numPr>
              <w:adjustRightInd w:val="0"/>
              <w:snapToGrid w:val="0"/>
              <w:spacing w:before="60" w:after="60"/>
              <w:jc w:val="center"/>
              <w:rPr>
                <w:rFonts w:cs="Times New Roman"/>
                <w:sz w:val="22"/>
              </w:rPr>
            </w:pPr>
          </w:p>
        </w:tc>
        <w:tc>
          <w:tcPr>
            <w:tcW w:w="574" w:type="pct"/>
          </w:tcPr>
          <w:p w14:paraId="450CEF93" w14:textId="2E007862" w:rsidR="00202C5D" w:rsidRPr="00E14DE7" w:rsidRDefault="00202C5D" w:rsidP="00C301A3">
            <w:pPr>
              <w:widowControl w:val="0"/>
              <w:adjustRightInd w:val="0"/>
              <w:snapToGrid w:val="0"/>
              <w:spacing w:before="60" w:after="60"/>
              <w:rPr>
                <w:rFonts w:cs="Times New Roman"/>
                <w:sz w:val="22"/>
              </w:rPr>
            </w:pPr>
            <w:r w:rsidRPr="00E14DE7">
              <w:rPr>
                <w:rFonts w:cs="Times New Roman"/>
                <w:sz w:val="22"/>
              </w:rPr>
              <w:t>Article 2, Clause 1, point f</w:t>
            </w:r>
          </w:p>
        </w:tc>
        <w:tc>
          <w:tcPr>
            <w:tcW w:w="1167" w:type="pct"/>
          </w:tcPr>
          <w:p w14:paraId="1C4FC088" w14:textId="1E7A6A6D" w:rsidR="00202C5D" w:rsidRPr="00E14DE7" w:rsidRDefault="00835783"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f) “</w:t>
            </w:r>
            <w:r w:rsidRPr="00E14DE7">
              <w:rPr>
                <w:rFonts w:cs="Times New Roman"/>
                <w:i/>
                <w:iCs/>
                <w:color w:val="000000"/>
                <w:sz w:val="22"/>
              </w:rPr>
              <w:t>Online GMS</w:t>
            </w:r>
            <w:r w:rsidRPr="00E14DE7">
              <w:rPr>
                <w:rFonts w:cs="Times New Roman"/>
                <w:color w:val="000000"/>
                <w:sz w:val="22"/>
              </w:rPr>
              <w:t>” refers to a form of organizing the General Meeting of Shareholders using electronic means to transmit images and audio via the Internet, enabling shareholders from various locations to attend, discuss, and vote on matters of the meeting.</w:t>
            </w:r>
          </w:p>
        </w:tc>
        <w:tc>
          <w:tcPr>
            <w:tcW w:w="2011" w:type="pct"/>
          </w:tcPr>
          <w:p w14:paraId="3A99EAFD" w14:textId="3FDBCAAC" w:rsidR="00202C5D" w:rsidRPr="00E14DE7" w:rsidRDefault="00D06E7C"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h) “</w:t>
            </w:r>
            <w:r w:rsidRPr="00E14DE7">
              <w:rPr>
                <w:rFonts w:cs="Times New Roman"/>
                <w:i/>
                <w:iCs/>
                <w:color w:val="000000"/>
                <w:sz w:val="22"/>
              </w:rPr>
              <w:t>Online Meeting</w:t>
            </w:r>
            <w:r w:rsidRPr="00E14DE7">
              <w:rPr>
                <w:rFonts w:cs="Times New Roman"/>
                <w:color w:val="000000"/>
                <w:sz w:val="22"/>
              </w:rPr>
              <w:t>” refers to a form of organizing the General Meeting of Shareholders using electronic means to transmit images and audio via the Internet, enabling shareholders from various locations to attend, discuss, and vote on matters of the meeting.</w:t>
            </w:r>
          </w:p>
        </w:tc>
        <w:tc>
          <w:tcPr>
            <w:tcW w:w="1033" w:type="pct"/>
          </w:tcPr>
          <w:p w14:paraId="3DD8AD9F" w14:textId="04577645" w:rsidR="00202C5D" w:rsidRPr="00E14DE7" w:rsidRDefault="00202C5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 xml:space="preserve">The amended contents are </w:t>
            </w:r>
            <w:r w:rsidRPr="00E14DE7">
              <w:rPr>
                <w:rFonts w:cs="Times New Roman"/>
                <w:color w:val="000000" w:themeColor="text1"/>
                <w:sz w:val="22"/>
                <w:u w:val="single"/>
              </w:rPr>
              <w:t>underlined</w:t>
            </w:r>
            <w:r w:rsidRPr="00E14DE7">
              <w:rPr>
                <w:rFonts w:cs="Times New Roman"/>
                <w:color w:val="000000" w:themeColor="text1"/>
                <w:sz w:val="22"/>
              </w:rPr>
              <w:t xml:space="preserve"> to consistently use the “Online Meeting” through full text.</w:t>
            </w:r>
          </w:p>
        </w:tc>
      </w:tr>
      <w:tr w:rsidR="00C301A3" w:rsidRPr="00E14DE7" w14:paraId="76C07070" w14:textId="77777777" w:rsidTr="00EB2EA0">
        <w:trPr>
          <w:trHeight w:val="20"/>
        </w:trPr>
        <w:tc>
          <w:tcPr>
            <w:tcW w:w="215" w:type="pct"/>
          </w:tcPr>
          <w:p w14:paraId="2D0F33EB" w14:textId="77777777" w:rsidR="00202C5D" w:rsidRPr="00E14DE7" w:rsidRDefault="00202C5D" w:rsidP="00EB2EA0">
            <w:pPr>
              <w:pStyle w:val="ListParagraph"/>
              <w:widowControl w:val="0"/>
              <w:numPr>
                <w:ilvl w:val="0"/>
                <w:numId w:val="37"/>
              </w:numPr>
              <w:adjustRightInd w:val="0"/>
              <w:snapToGrid w:val="0"/>
              <w:spacing w:before="60" w:after="60"/>
              <w:jc w:val="center"/>
              <w:rPr>
                <w:rFonts w:cs="Times New Roman"/>
                <w:sz w:val="22"/>
              </w:rPr>
            </w:pPr>
          </w:p>
        </w:tc>
        <w:tc>
          <w:tcPr>
            <w:tcW w:w="574" w:type="pct"/>
          </w:tcPr>
          <w:p w14:paraId="3B4786AD" w14:textId="2657DD1A" w:rsidR="00202C5D" w:rsidRPr="00E14DE7" w:rsidRDefault="00202C5D" w:rsidP="00C301A3">
            <w:pPr>
              <w:widowControl w:val="0"/>
              <w:adjustRightInd w:val="0"/>
              <w:snapToGrid w:val="0"/>
              <w:spacing w:before="60" w:after="60"/>
              <w:rPr>
                <w:rFonts w:cs="Times New Roman"/>
                <w:sz w:val="22"/>
              </w:rPr>
            </w:pPr>
            <w:r w:rsidRPr="00E14DE7">
              <w:rPr>
                <w:rFonts w:cs="Times New Roman"/>
                <w:sz w:val="22"/>
              </w:rPr>
              <w:t>Article 2, Clause 1</w:t>
            </w:r>
          </w:p>
        </w:tc>
        <w:tc>
          <w:tcPr>
            <w:tcW w:w="1167" w:type="pct"/>
          </w:tcPr>
          <w:p w14:paraId="42067F8D" w14:textId="6713CB95" w:rsidR="00202C5D" w:rsidRPr="00E14DE7" w:rsidRDefault="00202C5D" w:rsidP="00C301A3">
            <w:pPr>
              <w:widowControl w:val="0"/>
              <w:adjustRightInd w:val="0"/>
              <w:snapToGrid w:val="0"/>
              <w:spacing w:before="60" w:after="60"/>
              <w:jc w:val="both"/>
              <w:rPr>
                <w:rFonts w:cs="Times New Roman"/>
                <w:bCs/>
                <w:i/>
                <w:iCs/>
                <w:color w:val="000000"/>
                <w:sz w:val="22"/>
              </w:rPr>
            </w:pPr>
            <w:r w:rsidRPr="00E14DE7">
              <w:rPr>
                <w:rFonts w:cs="Times New Roman"/>
                <w:i/>
                <w:color w:val="000000"/>
                <w:sz w:val="22"/>
              </w:rPr>
              <w:t>Not specified</w:t>
            </w:r>
          </w:p>
        </w:tc>
        <w:tc>
          <w:tcPr>
            <w:tcW w:w="2011" w:type="pct"/>
          </w:tcPr>
          <w:p w14:paraId="0E5822DC" w14:textId="1514C92E" w:rsidR="00202C5D" w:rsidRPr="00E14DE7" w:rsidRDefault="00C958F8"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u w:val="single"/>
              </w:rPr>
              <w:t>i) “</w:t>
            </w:r>
            <w:r w:rsidRPr="00E14DE7">
              <w:rPr>
                <w:rFonts w:cs="Times New Roman"/>
                <w:i/>
                <w:color w:val="000000"/>
                <w:sz w:val="22"/>
                <w:u w:val="single"/>
              </w:rPr>
              <w:t>Direct Meeting</w:t>
            </w:r>
            <w:r w:rsidRPr="00E14DE7">
              <w:rPr>
                <w:rFonts w:cs="Times New Roman"/>
                <w:color w:val="000000"/>
                <w:sz w:val="22"/>
                <w:u w:val="single"/>
              </w:rPr>
              <w:t>” refers to a General Meeting of Shareholders held at a single location, where shareholders attend, discuss and vote in person.</w:t>
            </w:r>
          </w:p>
        </w:tc>
        <w:tc>
          <w:tcPr>
            <w:tcW w:w="1033" w:type="pct"/>
          </w:tcPr>
          <w:p w14:paraId="663E1535" w14:textId="7BA7C949" w:rsidR="00202C5D" w:rsidRPr="00E14DE7" w:rsidRDefault="00660139"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Recommend to supplement to distinguish with “Online meeting”.</w:t>
            </w:r>
          </w:p>
        </w:tc>
      </w:tr>
      <w:tr w:rsidR="00C301A3" w:rsidRPr="00E14DE7" w14:paraId="3E7CEB45" w14:textId="77777777" w:rsidTr="00EB2EA0">
        <w:trPr>
          <w:trHeight w:val="20"/>
        </w:trPr>
        <w:tc>
          <w:tcPr>
            <w:tcW w:w="215" w:type="pct"/>
          </w:tcPr>
          <w:p w14:paraId="5C3A5BB2" w14:textId="77777777" w:rsidR="00202C5D" w:rsidRPr="00E14DE7" w:rsidRDefault="00202C5D" w:rsidP="00EB2EA0">
            <w:pPr>
              <w:pStyle w:val="ListParagraph"/>
              <w:widowControl w:val="0"/>
              <w:numPr>
                <w:ilvl w:val="0"/>
                <w:numId w:val="37"/>
              </w:numPr>
              <w:adjustRightInd w:val="0"/>
              <w:snapToGrid w:val="0"/>
              <w:spacing w:before="60" w:after="60"/>
              <w:jc w:val="center"/>
              <w:rPr>
                <w:rFonts w:cs="Times New Roman"/>
                <w:sz w:val="22"/>
              </w:rPr>
            </w:pPr>
          </w:p>
        </w:tc>
        <w:tc>
          <w:tcPr>
            <w:tcW w:w="574" w:type="pct"/>
          </w:tcPr>
          <w:p w14:paraId="45DCA1F1" w14:textId="7740D8C2" w:rsidR="00202C5D" w:rsidRPr="00E14DE7" w:rsidRDefault="00202C5D" w:rsidP="00C301A3">
            <w:pPr>
              <w:widowControl w:val="0"/>
              <w:adjustRightInd w:val="0"/>
              <w:snapToGrid w:val="0"/>
              <w:spacing w:before="60" w:after="60"/>
              <w:rPr>
                <w:rFonts w:cs="Times New Roman"/>
                <w:sz w:val="22"/>
              </w:rPr>
            </w:pPr>
            <w:r w:rsidRPr="00E14DE7">
              <w:rPr>
                <w:rFonts w:cs="Times New Roman"/>
                <w:sz w:val="22"/>
              </w:rPr>
              <w:t>Article 2, Clause 1, point g</w:t>
            </w:r>
          </w:p>
        </w:tc>
        <w:tc>
          <w:tcPr>
            <w:tcW w:w="1167" w:type="pct"/>
          </w:tcPr>
          <w:p w14:paraId="24137F5C" w14:textId="08E0DB7B" w:rsidR="00202C5D" w:rsidRPr="00E14DE7" w:rsidRDefault="00835783"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g) Electronic Means refer to the media powered by the electric, electronic, digital, magnetic, wireless transmission, optical, electromagnetic or analog technology.</w:t>
            </w:r>
          </w:p>
          <w:p w14:paraId="3C3D7211" w14:textId="77777777" w:rsidR="00202C5D" w:rsidRPr="00E14DE7" w:rsidRDefault="00202C5D" w:rsidP="00C301A3">
            <w:pPr>
              <w:widowControl w:val="0"/>
              <w:adjustRightInd w:val="0"/>
              <w:snapToGrid w:val="0"/>
              <w:spacing w:before="60" w:after="60"/>
              <w:jc w:val="both"/>
              <w:rPr>
                <w:rFonts w:cs="Times New Roman"/>
                <w:bCs/>
                <w:color w:val="000000"/>
                <w:sz w:val="22"/>
              </w:rPr>
            </w:pPr>
          </w:p>
        </w:tc>
        <w:tc>
          <w:tcPr>
            <w:tcW w:w="2011" w:type="pct"/>
          </w:tcPr>
          <w:p w14:paraId="1C4DD603" w14:textId="05316C1F" w:rsidR="00202C5D" w:rsidRPr="00E14DE7" w:rsidRDefault="00A0113C"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k) “</w:t>
            </w:r>
            <w:r w:rsidRPr="00E14DE7">
              <w:rPr>
                <w:rFonts w:cs="Times New Roman"/>
                <w:i/>
                <w:iCs/>
                <w:color w:val="000000"/>
                <w:sz w:val="22"/>
              </w:rPr>
              <w:t>Electronic Means</w:t>
            </w:r>
            <w:r w:rsidRPr="00E14DE7">
              <w:rPr>
                <w:rFonts w:cs="Times New Roman"/>
                <w:color w:val="000000"/>
                <w:sz w:val="22"/>
              </w:rPr>
              <w:t xml:space="preserve">” refers to </w:t>
            </w:r>
            <w:r w:rsidRPr="00E14DE7">
              <w:rPr>
                <w:rFonts w:cs="Times New Roman"/>
                <w:color w:val="000000"/>
                <w:sz w:val="22"/>
                <w:u w:val="single"/>
              </w:rPr>
              <w:t>hardware, software, information systems or</w:t>
            </w:r>
            <w:r w:rsidRPr="00E14DE7">
              <w:rPr>
                <w:rFonts w:cs="Times New Roman"/>
                <w:color w:val="000000"/>
                <w:sz w:val="22"/>
              </w:rPr>
              <w:t xml:space="preserve"> other means operating based on information technology, electrical, electronic, digital, magnetic, wireless transmission, </w:t>
            </w:r>
            <w:r w:rsidR="00E14DE7" w:rsidRPr="00E14DE7">
              <w:rPr>
                <w:rFonts w:cs="Times New Roman"/>
                <w:color w:val="000000"/>
                <w:sz w:val="22"/>
              </w:rPr>
              <w:t>and optical</w:t>
            </w:r>
            <w:r w:rsidRPr="00E14DE7">
              <w:rPr>
                <w:rFonts w:cs="Times New Roman"/>
                <w:color w:val="000000"/>
                <w:sz w:val="22"/>
              </w:rPr>
              <w:t xml:space="preserve">, electromagnetic or similar technologies in accordance with the </w:t>
            </w:r>
            <w:r w:rsidRPr="00E14DE7">
              <w:rPr>
                <w:rFonts w:cs="Times New Roman"/>
                <w:color w:val="000000"/>
                <w:sz w:val="22"/>
                <w:u w:val="single"/>
              </w:rPr>
              <w:t>provisions of the</w:t>
            </w:r>
            <w:r w:rsidRPr="00E14DE7">
              <w:rPr>
                <w:rFonts w:cs="Times New Roman"/>
                <w:color w:val="000000"/>
                <w:sz w:val="22"/>
              </w:rPr>
              <w:t xml:space="preserve"> </w:t>
            </w:r>
            <w:r w:rsidRPr="00E14DE7">
              <w:rPr>
                <w:rFonts w:cs="Times New Roman"/>
                <w:color w:val="000000"/>
                <w:sz w:val="22"/>
                <w:u w:val="single"/>
              </w:rPr>
              <w:t>law on electronic transactions.</w:t>
            </w:r>
          </w:p>
        </w:tc>
        <w:tc>
          <w:tcPr>
            <w:tcW w:w="1033" w:type="pct"/>
          </w:tcPr>
          <w:p w14:paraId="7117F0C7" w14:textId="15894458" w:rsidR="00202C5D" w:rsidRPr="00E14DE7" w:rsidRDefault="00202C5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Redefine to ensure compliance with Article 3, Clause 2 of the 2023 Law on Electronic Transaction.</w:t>
            </w:r>
          </w:p>
        </w:tc>
      </w:tr>
      <w:tr w:rsidR="00C301A3" w:rsidRPr="00E14DE7" w14:paraId="48B9B875" w14:textId="77777777" w:rsidTr="00EB2EA0">
        <w:trPr>
          <w:trHeight w:val="20"/>
        </w:trPr>
        <w:tc>
          <w:tcPr>
            <w:tcW w:w="215" w:type="pct"/>
          </w:tcPr>
          <w:p w14:paraId="6A91D9A1" w14:textId="77777777" w:rsidR="00202C5D" w:rsidRPr="00E14DE7" w:rsidRDefault="00202C5D" w:rsidP="00EB2EA0">
            <w:pPr>
              <w:pStyle w:val="ListParagraph"/>
              <w:widowControl w:val="0"/>
              <w:numPr>
                <w:ilvl w:val="0"/>
                <w:numId w:val="37"/>
              </w:numPr>
              <w:adjustRightInd w:val="0"/>
              <w:snapToGrid w:val="0"/>
              <w:spacing w:before="60" w:after="60"/>
              <w:jc w:val="center"/>
              <w:rPr>
                <w:rFonts w:cs="Times New Roman"/>
                <w:sz w:val="22"/>
              </w:rPr>
            </w:pPr>
          </w:p>
        </w:tc>
        <w:tc>
          <w:tcPr>
            <w:tcW w:w="574" w:type="pct"/>
          </w:tcPr>
          <w:p w14:paraId="7856D9BD" w14:textId="2A62CF25" w:rsidR="00202C5D" w:rsidRPr="00E14DE7" w:rsidRDefault="00202C5D" w:rsidP="00C301A3">
            <w:pPr>
              <w:widowControl w:val="0"/>
              <w:adjustRightInd w:val="0"/>
              <w:snapToGrid w:val="0"/>
              <w:spacing w:before="60" w:after="60"/>
              <w:rPr>
                <w:rFonts w:cs="Times New Roman"/>
                <w:sz w:val="22"/>
              </w:rPr>
            </w:pPr>
            <w:r w:rsidRPr="00E14DE7">
              <w:rPr>
                <w:rFonts w:cs="Times New Roman"/>
                <w:sz w:val="22"/>
              </w:rPr>
              <w:t>Article 2, Clause 1, point h</w:t>
            </w:r>
          </w:p>
        </w:tc>
        <w:tc>
          <w:tcPr>
            <w:tcW w:w="1167" w:type="pct"/>
          </w:tcPr>
          <w:p w14:paraId="36EC2936" w14:textId="1E8D175E" w:rsidR="00202C5D" w:rsidRPr="00E14DE7" w:rsidRDefault="00DC00C9"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h) “</w:t>
            </w:r>
            <w:r w:rsidRPr="00E14DE7">
              <w:rPr>
                <w:rFonts w:cs="Times New Roman"/>
                <w:i/>
                <w:color w:val="000000"/>
                <w:sz w:val="22"/>
              </w:rPr>
              <w:t>Online Meeting Venue</w:t>
            </w:r>
            <w:r w:rsidRPr="00E14DE7">
              <w:rPr>
                <w:rFonts w:cs="Times New Roman"/>
                <w:color w:val="000000"/>
                <w:sz w:val="22"/>
              </w:rPr>
              <w:t xml:space="preserve">” includes the main venue and other sites. Among which, the main venue is the place where the Chairman joins and presides the meeting while other sites refer to the places where the shareholders login the System by </w:t>
            </w:r>
            <w:r w:rsidRPr="00E14DE7">
              <w:rPr>
                <w:rFonts w:cs="Times New Roman"/>
                <w:color w:val="000000"/>
                <w:sz w:val="22"/>
              </w:rPr>
              <w:lastRenderedPageBreak/>
              <w:t>Petrolimex’s provided Login Credentials to join the Online Meeting.</w:t>
            </w:r>
          </w:p>
        </w:tc>
        <w:tc>
          <w:tcPr>
            <w:tcW w:w="2011" w:type="pct"/>
          </w:tcPr>
          <w:p w14:paraId="1CF5D8B5" w14:textId="0D1A4F69" w:rsidR="00202C5D" w:rsidRPr="00E14DE7" w:rsidRDefault="00202C5D" w:rsidP="00C301A3">
            <w:pPr>
              <w:widowControl w:val="0"/>
              <w:adjustRightInd w:val="0"/>
              <w:snapToGrid w:val="0"/>
              <w:spacing w:before="60" w:after="60"/>
              <w:jc w:val="both"/>
              <w:rPr>
                <w:rFonts w:cs="Times New Roman"/>
                <w:bCs/>
                <w:i/>
                <w:iCs/>
                <w:color w:val="000000"/>
                <w:sz w:val="22"/>
              </w:rPr>
            </w:pPr>
            <w:r w:rsidRPr="00E14DE7">
              <w:rPr>
                <w:rFonts w:cs="Times New Roman"/>
                <w:i/>
                <w:color w:val="000000"/>
                <w:sz w:val="22"/>
              </w:rPr>
              <w:lastRenderedPageBreak/>
              <w:t>Remove Article 2, Clause 1, point h of Regulation 218.</w:t>
            </w:r>
          </w:p>
        </w:tc>
        <w:tc>
          <w:tcPr>
            <w:tcW w:w="1033" w:type="pct"/>
          </w:tcPr>
          <w:p w14:paraId="1E87544C" w14:textId="26861A0D" w:rsidR="00202C5D" w:rsidRPr="00E14DE7" w:rsidRDefault="00660139"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 xml:space="preserve">Recommend to remove because the concept “Online Meeting venue” is not used in the Regulation 218 and Draft </w:t>
            </w:r>
            <w:r w:rsidR="00E14DE7" w:rsidRPr="00E14DE7">
              <w:rPr>
                <w:rFonts w:cs="Times New Roman"/>
                <w:color w:val="000000" w:themeColor="text1"/>
                <w:sz w:val="22"/>
              </w:rPr>
              <w:t xml:space="preserve">Regulation. </w:t>
            </w:r>
          </w:p>
        </w:tc>
      </w:tr>
      <w:tr w:rsidR="00C301A3" w:rsidRPr="00E14DE7" w14:paraId="39126057" w14:textId="77777777" w:rsidTr="00EB2EA0">
        <w:trPr>
          <w:trHeight w:val="20"/>
        </w:trPr>
        <w:tc>
          <w:tcPr>
            <w:tcW w:w="215" w:type="pct"/>
          </w:tcPr>
          <w:p w14:paraId="1E153361" w14:textId="77777777" w:rsidR="00202C5D" w:rsidRPr="00E14DE7" w:rsidRDefault="00202C5D" w:rsidP="00EB2EA0">
            <w:pPr>
              <w:pStyle w:val="ListParagraph"/>
              <w:widowControl w:val="0"/>
              <w:numPr>
                <w:ilvl w:val="0"/>
                <w:numId w:val="37"/>
              </w:numPr>
              <w:adjustRightInd w:val="0"/>
              <w:snapToGrid w:val="0"/>
              <w:spacing w:before="60" w:after="60"/>
              <w:jc w:val="center"/>
              <w:rPr>
                <w:rFonts w:cs="Times New Roman"/>
                <w:sz w:val="22"/>
              </w:rPr>
            </w:pPr>
          </w:p>
        </w:tc>
        <w:tc>
          <w:tcPr>
            <w:tcW w:w="574" w:type="pct"/>
          </w:tcPr>
          <w:p w14:paraId="2E60E309" w14:textId="669EF7ED" w:rsidR="00202C5D" w:rsidRPr="00E14DE7" w:rsidRDefault="00202C5D" w:rsidP="00C301A3">
            <w:pPr>
              <w:widowControl w:val="0"/>
              <w:adjustRightInd w:val="0"/>
              <w:snapToGrid w:val="0"/>
              <w:spacing w:before="60" w:after="60"/>
              <w:rPr>
                <w:rFonts w:cs="Times New Roman"/>
                <w:sz w:val="22"/>
              </w:rPr>
            </w:pPr>
            <w:r w:rsidRPr="00E14DE7">
              <w:rPr>
                <w:rFonts w:cs="Times New Roman"/>
                <w:sz w:val="22"/>
              </w:rPr>
              <w:t>Article 2, Clause 1</w:t>
            </w:r>
          </w:p>
        </w:tc>
        <w:tc>
          <w:tcPr>
            <w:tcW w:w="1167" w:type="pct"/>
          </w:tcPr>
          <w:p w14:paraId="55F29F18" w14:textId="6EEEB56C" w:rsidR="00202C5D" w:rsidRPr="00E14DE7" w:rsidRDefault="00202C5D" w:rsidP="00C301A3">
            <w:pPr>
              <w:widowControl w:val="0"/>
              <w:adjustRightInd w:val="0"/>
              <w:snapToGrid w:val="0"/>
              <w:spacing w:before="60" w:after="60"/>
              <w:jc w:val="both"/>
              <w:rPr>
                <w:rFonts w:cs="Times New Roman"/>
                <w:bCs/>
                <w:color w:val="000000"/>
                <w:sz w:val="22"/>
              </w:rPr>
            </w:pPr>
            <w:r w:rsidRPr="00E14DE7">
              <w:rPr>
                <w:rFonts w:cs="Times New Roman"/>
                <w:i/>
                <w:color w:val="000000"/>
                <w:sz w:val="22"/>
              </w:rPr>
              <w:t>Not specified</w:t>
            </w:r>
          </w:p>
        </w:tc>
        <w:tc>
          <w:tcPr>
            <w:tcW w:w="2011" w:type="pct"/>
          </w:tcPr>
          <w:p w14:paraId="57CE38DA" w14:textId="24A18FB4" w:rsidR="00202C5D" w:rsidRPr="00E14DE7" w:rsidRDefault="00C958F8" w:rsidP="00C301A3">
            <w:pPr>
              <w:widowControl w:val="0"/>
              <w:adjustRightInd w:val="0"/>
              <w:snapToGrid w:val="0"/>
              <w:spacing w:before="60" w:after="60"/>
              <w:jc w:val="both"/>
              <w:rPr>
                <w:rFonts w:cs="Times New Roman"/>
                <w:bCs/>
                <w:color w:val="000000"/>
                <w:sz w:val="22"/>
                <w:u w:val="single"/>
              </w:rPr>
            </w:pPr>
            <w:r w:rsidRPr="00E14DE7">
              <w:rPr>
                <w:rStyle w:val="normaltextrun"/>
                <w:rFonts w:cs="Times New Roman"/>
                <w:i/>
                <w:color w:val="000000"/>
                <w:sz w:val="22"/>
                <w:u w:val="single"/>
              </w:rPr>
              <w:t>m) “Remote voting”</w:t>
            </w:r>
            <w:r w:rsidRPr="00E14DE7">
              <w:rPr>
                <w:rStyle w:val="apple-converted-space"/>
                <w:rFonts w:cs="Times New Roman"/>
                <w:i/>
                <w:color w:val="000000"/>
                <w:sz w:val="22"/>
                <w:u w:val="single"/>
              </w:rPr>
              <w:t> </w:t>
            </w:r>
            <w:r w:rsidRPr="00E14DE7">
              <w:rPr>
                <w:rStyle w:val="normaltextrun"/>
                <w:rFonts w:cs="Times New Roman"/>
                <w:color w:val="000000"/>
                <w:sz w:val="22"/>
                <w:u w:val="single"/>
              </w:rPr>
              <w:t>refers to the fact that shareholders submit their votes to Petrolimex by post or email to vote for matters within the authority of the General Meeting of Shareholders.</w:t>
            </w:r>
          </w:p>
        </w:tc>
        <w:tc>
          <w:tcPr>
            <w:tcW w:w="1033" w:type="pct"/>
          </w:tcPr>
          <w:p w14:paraId="1D67FAEF" w14:textId="641FC550" w:rsidR="00202C5D" w:rsidRPr="00E14DE7" w:rsidRDefault="00202C5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Add more definitions to clarify the “remote voting” form under Article 4, Clause 2, point a of the Draft Regulation.</w:t>
            </w:r>
          </w:p>
        </w:tc>
      </w:tr>
      <w:tr w:rsidR="00C301A3" w:rsidRPr="00E14DE7" w14:paraId="2FEEADE3" w14:textId="77777777" w:rsidTr="00EB2EA0">
        <w:trPr>
          <w:trHeight w:val="20"/>
        </w:trPr>
        <w:tc>
          <w:tcPr>
            <w:tcW w:w="215" w:type="pct"/>
          </w:tcPr>
          <w:p w14:paraId="43999A76" w14:textId="77777777" w:rsidR="00202C5D" w:rsidRPr="00E14DE7" w:rsidRDefault="00202C5D" w:rsidP="00EB2EA0">
            <w:pPr>
              <w:pStyle w:val="ListParagraph"/>
              <w:widowControl w:val="0"/>
              <w:numPr>
                <w:ilvl w:val="0"/>
                <w:numId w:val="37"/>
              </w:numPr>
              <w:adjustRightInd w:val="0"/>
              <w:snapToGrid w:val="0"/>
              <w:spacing w:before="60" w:after="60"/>
              <w:jc w:val="center"/>
              <w:rPr>
                <w:rFonts w:cs="Times New Roman"/>
                <w:sz w:val="22"/>
              </w:rPr>
            </w:pPr>
          </w:p>
        </w:tc>
        <w:tc>
          <w:tcPr>
            <w:tcW w:w="574" w:type="pct"/>
          </w:tcPr>
          <w:p w14:paraId="76C7886A" w14:textId="018AC30B" w:rsidR="00202C5D" w:rsidRPr="00E14DE7" w:rsidRDefault="00202C5D" w:rsidP="00C301A3">
            <w:pPr>
              <w:widowControl w:val="0"/>
              <w:adjustRightInd w:val="0"/>
              <w:snapToGrid w:val="0"/>
              <w:spacing w:before="60" w:after="60"/>
              <w:rPr>
                <w:rFonts w:cs="Times New Roman"/>
                <w:sz w:val="22"/>
              </w:rPr>
            </w:pPr>
            <w:r w:rsidRPr="00E14DE7">
              <w:rPr>
                <w:rFonts w:cs="Times New Roman"/>
                <w:sz w:val="22"/>
              </w:rPr>
              <w:t>Article 2, Clause 1, point m</w:t>
            </w:r>
          </w:p>
        </w:tc>
        <w:tc>
          <w:tcPr>
            <w:tcW w:w="1167" w:type="pct"/>
          </w:tcPr>
          <w:p w14:paraId="5FC94BC2" w14:textId="27EB0EB8" w:rsidR="00202C5D" w:rsidRPr="00E14DE7" w:rsidRDefault="00716FA6"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m) “</w:t>
            </w:r>
            <w:r w:rsidRPr="00E14DE7">
              <w:rPr>
                <w:rFonts w:cs="Times New Roman"/>
                <w:i/>
                <w:iCs/>
                <w:color w:val="000000"/>
                <w:sz w:val="22"/>
              </w:rPr>
              <w:t>Shareholder Login ID</w:t>
            </w:r>
            <w:r w:rsidRPr="00E14DE7">
              <w:rPr>
                <w:rFonts w:cs="Times New Roman"/>
                <w:color w:val="000000"/>
                <w:sz w:val="22"/>
              </w:rPr>
              <w:t>” refers to a Personal Identification Number, Citizen identification card; Enterprise Registration Number, Foreign Investor Code, or other identifiers registered with Petrolimex or Vietnam Securities Depository (VSD).</w:t>
            </w:r>
          </w:p>
        </w:tc>
        <w:tc>
          <w:tcPr>
            <w:tcW w:w="2011" w:type="pct"/>
          </w:tcPr>
          <w:p w14:paraId="2A52D327" w14:textId="036B9697" w:rsidR="00202C5D" w:rsidRPr="00E14DE7" w:rsidRDefault="00CA4142"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q) “</w:t>
            </w:r>
            <w:r w:rsidRPr="00E14DE7">
              <w:rPr>
                <w:rFonts w:cs="Times New Roman"/>
                <w:i/>
                <w:iCs/>
                <w:color w:val="000000"/>
                <w:sz w:val="22"/>
              </w:rPr>
              <w:t>Shareholder Login ID</w:t>
            </w:r>
            <w:r w:rsidRPr="00E14DE7">
              <w:rPr>
                <w:rFonts w:cs="Times New Roman"/>
                <w:color w:val="000000"/>
                <w:sz w:val="22"/>
              </w:rPr>
              <w:t xml:space="preserve">” refers to a </w:t>
            </w:r>
            <w:r w:rsidRPr="00E14DE7">
              <w:rPr>
                <w:rFonts w:cs="Times New Roman"/>
                <w:color w:val="000000"/>
                <w:sz w:val="22"/>
                <w:u w:val="single"/>
              </w:rPr>
              <w:t>Personal Identification Number</w:t>
            </w:r>
            <w:r w:rsidRPr="00E14DE7">
              <w:rPr>
                <w:rFonts w:cs="Times New Roman"/>
                <w:color w:val="000000"/>
                <w:sz w:val="22"/>
              </w:rPr>
              <w:t xml:space="preserve">, Enterprise Registration Number, Foreign Investor Code, or other identifiers registered with Petrolimex or </w:t>
            </w:r>
            <w:r w:rsidRPr="00E14DE7">
              <w:rPr>
                <w:rFonts w:cs="Times New Roman"/>
                <w:color w:val="000000"/>
                <w:sz w:val="22"/>
                <w:u w:val="single"/>
              </w:rPr>
              <w:t>Vietnam Securities</w:t>
            </w:r>
            <w:r w:rsidRPr="00E14DE7">
              <w:rPr>
                <w:rFonts w:cs="Times New Roman"/>
                <w:color w:val="000000"/>
                <w:sz w:val="22"/>
              </w:rPr>
              <w:t xml:space="preserve"> </w:t>
            </w:r>
            <w:r w:rsidRPr="00E14DE7">
              <w:rPr>
                <w:rFonts w:cs="Times New Roman"/>
                <w:color w:val="000000"/>
                <w:sz w:val="22"/>
                <w:u w:val="single"/>
              </w:rPr>
              <w:t>Depository and Clearing Corporation (VSDC).</w:t>
            </w:r>
          </w:p>
          <w:p w14:paraId="486C380E" w14:textId="43C225B1" w:rsidR="00202C5D" w:rsidRPr="00E14DE7" w:rsidRDefault="00202C5D" w:rsidP="00C301A3">
            <w:pPr>
              <w:widowControl w:val="0"/>
              <w:adjustRightInd w:val="0"/>
              <w:snapToGrid w:val="0"/>
              <w:spacing w:before="60" w:after="60"/>
              <w:jc w:val="both"/>
              <w:rPr>
                <w:rFonts w:cs="Times New Roman"/>
                <w:b/>
                <w:color w:val="000000"/>
                <w:sz w:val="22"/>
              </w:rPr>
            </w:pPr>
          </w:p>
        </w:tc>
        <w:tc>
          <w:tcPr>
            <w:tcW w:w="1033" w:type="pct"/>
          </w:tcPr>
          <w:p w14:paraId="3E7CD6D3" w14:textId="0CF7102A" w:rsidR="00202C5D" w:rsidRPr="00E14DE7" w:rsidRDefault="00202C5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Brief the personal identification documents as a common name of “Personal legal documents”. Category details shall be based on Article 1, Clause 1, point c of the amended Law on Enterprises 2025.</w:t>
            </w:r>
          </w:p>
          <w:p w14:paraId="7AAF3E1C" w14:textId="25508E75" w:rsidR="00202C5D" w:rsidRPr="00E14DE7" w:rsidRDefault="00202C5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Also, amend the name of securities registration and depository authority in accordance with its applicable name.</w:t>
            </w:r>
          </w:p>
        </w:tc>
      </w:tr>
      <w:tr w:rsidR="00C301A3" w:rsidRPr="00E14DE7" w14:paraId="4B055D94" w14:textId="77777777" w:rsidTr="00EB2EA0">
        <w:trPr>
          <w:trHeight w:val="20"/>
        </w:trPr>
        <w:tc>
          <w:tcPr>
            <w:tcW w:w="215" w:type="pct"/>
          </w:tcPr>
          <w:p w14:paraId="5D170321" w14:textId="77777777" w:rsidR="001B00A8" w:rsidRPr="00E14DE7" w:rsidRDefault="001B00A8" w:rsidP="00EB2EA0">
            <w:pPr>
              <w:pStyle w:val="ListParagraph"/>
              <w:widowControl w:val="0"/>
              <w:numPr>
                <w:ilvl w:val="0"/>
                <w:numId w:val="37"/>
              </w:numPr>
              <w:adjustRightInd w:val="0"/>
              <w:snapToGrid w:val="0"/>
              <w:spacing w:before="60" w:after="60"/>
              <w:jc w:val="center"/>
              <w:rPr>
                <w:rFonts w:cs="Times New Roman"/>
                <w:sz w:val="22"/>
              </w:rPr>
            </w:pPr>
          </w:p>
        </w:tc>
        <w:tc>
          <w:tcPr>
            <w:tcW w:w="574" w:type="pct"/>
          </w:tcPr>
          <w:p w14:paraId="56DFFFD3" w14:textId="24C0F461" w:rsidR="001B00A8" w:rsidRPr="00E14DE7" w:rsidRDefault="001B00A8" w:rsidP="00C301A3">
            <w:pPr>
              <w:widowControl w:val="0"/>
              <w:adjustRightInd w:val="0"/>
              <w:snapToGrid w:val="0"/>
              <w:spacing w:before="60" w:after="60"/>
              <w:rPr>
                <w:rFonts w:cs="Times New Roman"/>
                <w:sz w:val="22"/>
              </w:rPr>
            </w:pPr>
            <w:r w:rsidRPr="00E14DE7">
              <w:rPr>
                <w:rFonts w:cs="Times New Roman"/>
                <w:sz w:val="22"/>
              </w:rPr>
              <w:t xml:space="preserve">Article 3, Clause 1 </w:t>
            </w:r>
          </w:p>
        </w:tc>
        <w:tc>
          <w:tcPr>
            <w:tcW w:w="1167" w:type="pct"/>
          </w:tcPr>
          <w:p w14:paraId="6A661EA3" w14:textId="56033906" w:rsidR="001B00A8" w:rsidRPr="00E14DE7" w:rsidRDefault="00DC09FA"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1. Shareholder is the owner of Petrolimex</w:t>
            </w:r>
            <w:r w:rsidR="00B16CB3" w:rsidRPr="00E14DE7">
              <w:rPr>
                <w:rFonts w:cs="Times New Roman"/>
                <w:color w:val="000000"/>
                <w:sz w:val="22"/>
              </w:rPr>
              <w:t>,</w:t>
            </w:r>
            <w:r w:rsidRPr="00E14DE7">
              <w:rPr>
                <w:rFonts w:cs="Times New Roman"/>
                <w:color w:val="000000"/>
                <w:sz w:val="22"/>
              </w:rPr>
              <w:t xml:space="preserve"> having the respective rights and obligations in proration to their shareholdings and share categories. Each shareholder is only responsible for Petrolimex’s debts and other asset liabilities within its contributed capital.</w:t>
            </w:r>
          </w:p>
        </w:tc>
        <w:tc>
          <w:tcPr>
            <w:tcW w:w="2011" w:type="pct"/>
          </w:tcPr>
          <w:p w14:paraId="68FEE021" w14:textId="48E63E35" w:rsidR="00012EE8" w:rsidRPr="00E14DE7" w:rsidRDefault="00012EE8" w:rsidP="00C301A3">
            <w:pPr>
              <w:widowControl w:val="0"/>
              <w:adjustRightInd w:val="0"/>
              <w:snapToGrid w:val="0"/>
              <w:spacing w:before="60" w:after="60"/>
              <w:jc w:val="both"/>
              <w:rPr>
                <w:rFonts w:cs="Times New Roman"/>
                <w:color w:val="000000"/>
                <w:sz w:val="22"/>
              </w:rPr>
            </w:pPr>
            <w:r w:rsidRPr="00E14DE7">
              <w:rPr>
                <w:rFonts w:cs="Times New Roman"/>
                <w:color w:val="000000"/>
                <w:sz w:val="22"/>
              </w:rPr>
              <w:t>Article 4</w:t>
            </w:r>
          </w:p>
          <w:p w14:paraId="6AB23D03" w14:textId="64637AB6" w:rsidR="001B00A8" w:rsidRPr="00E14DE7" w:rsidDel="00A57B16" w:rsidRDefault="00052F2B" w:rsidP="00C301A3">
            <w:pPr>
              <w:widowControl w:val="0"/>
              <w:adjustRightInd w:val="0"/>
              <w:snapToGrid w:val="0"/>
              <w:spacing w:before="60" w:after="60"/>
              <w:jc w:val="both"/>
              <w:rPr>
                <w:rFonts w:cs="Times New Roman"/>
                <w:color w:val="000000"/>
                <w:sz w:val="22"/>
              </w:rPr>
            </w:pPr>
            <w:r w:rsidRPr="00E14DE7">
              <w:rPr>
                <w:rFonts w:cs="Times New Roman"/>
                <w:color w:val="000000"/>
                <w:sz w:val="22"/>
              </w:rPr>
              <w:t>1. Shareholder is individuals and organizations</w:t>
            </w:r>
            <w:r w:rsidRPr="00E14DE7">
              <w:rPr>
                <w:rFonts w:cs="Times New Roman"/>
                <w:color w:val="000000"/>
                <w:sz w:val="22"/>
                <w:u w:val="single"/>
              </w:rPr>
              <w:t xml:space="preserve"> holding at least one share of</w:t>
            </w:r>
            <w:r w:rsidRPr="00E14DE7">
              <w:rPr>
                <w:rFonts w:cs="Times New Roman"/>
                <w:color w:val="000000"/>
                <w:sz w:val="22"/>
              </w:rPr>
              <w:t xml:space="preserve"> Petrolimex, having the respective rights and obligations in proration to their shareholdings and share categories. Each shareholder is only responsible for Petrolimex’s debts and other asset liabilities within its contributed capital.</w:t>
            </w:r>
          </w:p>
        </w:tc>
        <w:tc>
          <w:tcPr>
            <w:tcW w:w="1033" w:type="pct"/>
          </w:tcPr>
          <w:p w14:paraId="52DB8836" w14:textId="4350D96E" w:rsidR="001B00A8" w:rsidRPr="00E14DE7" w:rsidDel="00A57B16" w:rsidRDefault="00724E0B"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 xml:space="preserve">Amended contents are </w:t>
            </w:r>
            <w:r w:rsidRPr="00E14DE7">
              <w:rPr>
                <w:rFonts w:cs="Times New Roman"/>
                <w:color w:val="000000" w:themeColor="text1"/>
                <w:sz w:val="22"/>
                <w:u w:val="single"/>
              </w:rPr>
              <w:t>underlined</w:t>
            </w:r>
            <w:r w:rsidRPr="00E14DE7">
              <w:rPr>
                <w:rFonts w:cs="Times New Roman"/>
                <w:color w:val="000000" w:themeColor="text1"/>
                <w:sz w:val="22"/>
              </w:rPr>
              <w:t xml:space="preserve"> </w:t>
            </w:r>
            <w:r w:rsidR="007F1352" w:rsidRPr="00E14DE7">
              <w:rPr>
                <w:rFonts w:cs="Times New Roman"/>
                <w:color w:val="000000" w:themeColor="text1"/>
                <w:sz w:val="22"/>
              </w:rPr>
              <w:t>to ensure compliance with Article</w:t>
            </w:r>
            <w:r w:rsidRPr="00E14DE7">
              <w:rPr>
                <w:rFonts w:cs="Times New Roman"/>
                <w:color w:val="000000" w:themeColor="text1"/>
                <w:sz w:val="22"/>
              </w:rPr>
              <w:t xml:space="preserve"> 12, Clause 1 of the 2026 Draft Charter.</w:t>
            </w:r>
          </w:p>
        </w:tc>
      </w:tr>
      <w:tr w:rsidR="00C301A3" w:rsidRPr="00E14DE7" w14:paraId="4A7E29B5" w14:textId="77777777" w:rsidTr="00EB2EA0">
        <w:trPr>
          <w:trHeight w:val="20"/>
        </w:trPr>
        <w:tc>
          <w:tcPr>
            <w:tcW w:w="215" w:type="pct"/>
          </w:tcPr>
          <w:p w14:paraId="3A526FD3" w14:textId="77777777" w:rsidR="005C1625" w:rsidRPr="00E14DE7" w:rsidRDefault="005C1625" w:rsidP="00EB2EA0">
            <w:pPr>
              <w:pStyle w:val="ListParagraph"/>
              <w:widowControl w:val="0"/>
              <w:numPr>
                <w:ilvl w:val="0"/>
                <w:numId w:val="37"/>
              </w:numPr>
              <w:adjustRightInd w:val="0"/>
              <w:snapToGrid w:val="0"/>
              <w:spacing w:before="60" w:after="60"/>
              <w:jc w:val="center"/>
              <w:rPr>
                <w:rFonts w:cs="Times New Roman"/>
                <w:sz w:val="22"/>
              </w:rPr>
            </w:pPr>
          </w:p>
        </w:tc>
        <w:tc>
          <w:tcPr>
            <w:tcW w:w="574" w:type="pct"/>
          </w:tcPr>
          <w:p w14:paraId="0798B5C4" w14:textId="05B6F1DB" w:rsidR="005C1625" w:rsidRPr="00E14DE7" w:rsidRDefault="003D6529" w:rsidP="00C301A3">
            <w:pPr>
              <w:widowControl w:val="0"/>
              <w:adjustRightInd w:val="0"/>
              <w:snapToGrid w:val="0"/>
              <w:spacing w:before="60" w:after="60"/>
              <w:rPr>
                <w:rFonts w:cs="Times New Roman"/>
                <w:sz w:val="22"/>
              </w:rPr>
            </w:pPr>
            <w:r w:rsidRPr="00E14DE7">
              <w:rPr>
                <w:rFonts w:cs="Times New Roman"/>
                <w:sz w:val="22"/>
              </w:rPr>
              <w:t xml:space="preserve">Article 3, Clause 2, </w:t>
            </w:r>
            <w:r w:rsidRPr="00E14DE7">
              <w:rPr>
                <w:rFonts w:cs="Times New Roman"/>
                <w:sz w:val="22"/>
              </w:rPr>
              <w:lastRenderedPageBreak/>
              <w:t>points a, d, m</w:t>
            </w:r>
          </w:p>
        </w:tc>
        <w:tc>
          <w:tcPr>
            <w:tcW w:w="1167" w:type="pct"/>
          </w:tcPr>
          <w:p w14:paraId="6F1F962E" w14:textId="77777777" w:rsidR="005C1625" w:rsidRPr="00E14DE7" w:rsidRDefault="00500B9D"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lastRenderedPageBreak/>
              <w:t xml:space="preserve">a) Participate and deliver speech in the General Meeting of </w:t>
            </w:r>
            <w:r w:rsidRPr="00E14DE7">
              <w:rPr>
                <w:rFonts w:cs="Times New Roman"/>
                <w:color w:val="000000"/>
                <w:sz w:val="22"/>
              </w:rPr>
              <w:lastRenderedPageBreak/>
              <w:t>Shareholders and vote either directly or through proxy or remote voting.</w:t>
            </w:r>
          </w:p>
          <w:p w14:paraId="3B3F8208" w14:textId="77777777" w:rsidR="00500B9D" w:rsidRPr="00E14DE7" w:rsidRDefault="00500B9D"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d) Transfer freely their shares to another person in accordance with the provisions of the laws;</w:t>
            </w:r>
          </w:p>
          <w:p w14:paraId="0881D7F4" w14:textId="4047CD71" w:rsidR="008F046C" w:rsidRPr="00E14DE7" w:rsidRDefault="008F046C"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m) Other rights as prescribed by the laws.</w:t>
            </w:r>
          </w:p>
        </w:tc>
        <w:tc>
          <w:tcPr>
            <w:tcW w:w="2011" w:type="pct"/>
          </w:tcPr>
          <w:p w14:paraId="0C6F02B6" w14:textId="0DC291C0" w:rsidR="00012EE8" w:rsidRPr="00E14DE7" w:rsidRDefault="00012EE8" w:rsidP="00C301A3">
            <w:pPr>
              <w:widowControl w:val="0"/>
              <w:adjustRightInd w:val="0"/>
              <w:snapToGrid w:val="0"/>
              <w:spacing w:before="60" w:after="60"/>
              <w:jc w:val="both"/>
              <w:rPr>
                <w:rFonts w:cs="Times New Roman"/>
                <w:sz w:val="22"/>
              </w:rPr>
            </w:pPr>
            <w:r w:rsidRPr="00E14DE7">
              <w:rPr>
                <w:rFonts w:cs="Times New Roman"/>
                <w:sz w:val="22"/>
              </w:rPr>
              <w:lastRenderedPageBreak/>
              <w:t>Article 4, Clause 2</w:t>
            </w:r>
          </w:p>
          <w:p w14:paraId="2A5D849D" w14:textId="31E16C19" w:rsidR="007F7F0F" w:rsidRPr="00E14DE7" w:rsidRDefault="00012EE8" w:rsidP="00C301A3">
            <w:pPr>
              <w:widowControl w:val="0"/>
              <w:adjustRightInd w:val="0"/>
              <w:snapToGrid w:val="0"/>
              <w:spacing w:before="60" w:after="60"/>
              <w:jc w:val="both"/>
              <w:rPr>
                <w:rFonts w:cs="Times New Roman"/>
                <w:bCs/>
                <w:color w:val="000000"/>
                <w:sz w:val="22"/>
                <w:u w:val="single"/>
              </w:rPr>
            </w:pPr>
            <w:r w:rsidRPr="00E14DE7">
              <w:rPr>
                <w:rFonts w:cs="Times New Roman"/>
              </w:rPr>
              <w:t xml:space="preserve">a) Participate and deliver speech in the General </w:t>
            </w:r>
            <w:r w:rsidRPr="00E14DE7">
              <w:rPr>
                <w:rFonts w:cs="Times New Roman"/>
              </w:rPr>
              <w:lastRenderedPageBreak/>
              <w:t>Meeting of Shareholders and vote either directly or through proxy or remote voting.</w:t>
            </w:r>
            <w:r w:rsidRPr="00E14DE7">
              <w:rPr>
                <w:rFonts w:cs="Times New Roman"/>
                <w:color w:val="000000"/>
                <w:sz w:val="22"/>
              </w:rPr>
              <w:t xml:space="preserve"> </w:t>
            </w:r>
            <w:r w:rsidRPr="00E14DE7">
              <w:rPr>
                <w:rFonts w:cs="Times New Roman"/>
                <w:color w:val="000000"/>
                <w:sz w:val="22"/>
                <w:u w:val="single"/>
              </w:rPr>
              <w:t>Each ordinary share has a vote;</w:t>
            </w:r>
          </w:p>
          <w:p w14:paraId="1E336375" w14:textId="2FFCD359" w:rsidR="00BD7694" w:rsidRPr="00E14DE7" w:rsidRDefault="00012EE8"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d) Transfer freely their shares to another person in accordance with the provisions of the laws and Petrolimex Charter;</w:t>
            </w:r>
          </w:p>
          <w:p w14:paraId="09D4FA3A" w14:textId="5E62B187" w:rsidR="00FF7695" w:rsidRPr="00E14DE7" w:rsidRDefault="00012EE8"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 xml:space="preserve">m) Other rights stipulated in the laws </w:t>
            </w:r>
            <w:r w:rsidRPr="00E14DE7">
              <w:rPr>
                <w:rFonts w:cs="Times New Roman"/>
                <w:color w:val="000000"/>
                <w:sz w:val="22"/>
                <w:u w:val="single"/>
              </w:rPr>
              <w:t>and Petrolimex Charter.</w:t>
            </w:r>
          </w:p>
          <w:p w14:paraId="78466482" w14:textId="590CFD65" w:rsidR="005C1625" w:rsidRPr="00E14DE7" w:rsidRDefault="003D6529" w:rsidP="00C301A3">
            <w:pPr>
              <w:widowControl w:val="0"/>
              <w:adjustRightInd w:val="0"/>
              <w:snapToGrid w:val="0"/>
              <w:spacing w:before="60" w:after="60"/>
              <w:jc w:val="both"/>
              <w:rPr>
                <w:rFonts w:cs="Times New Roman"/>
                <w:color w:val="000000"/>
                <w:sz w:val="22"/>
              </w:rPr>
            </w:pPr>
            <w:r w:rsidRPr="00E14DE7">
              <w:rPr>
                <w:rFonts w:cs="Times New Roman"/>
                <w:color w:val="000000"/>
                <w:sz w:val="22"/>
              </w:rPr>
              <w:t> </w:t>
            </w:r>
          </w:p>
        </w:tc>
        <w:tc>
          <w:tcPr>
            <w:tcW w:w="1033" w:type="pct"/>
          </w:tcPr>
          <w:p w14:paraId="3F8ACA42" w14:textId="3E692B71" w:rsidR="005C1625" w:rsidRPr="00E14DE7" w:rsidRDefault="003D6529"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lastRenderedPageBreak/>
              <w:t xml:space="preserve">Amended contents are </w:t>
            </w:r>
            <w:r w:rsidRPr="00E14DE7">
              <w:rPr>
                <w:rFonts w:cs="Times New Roman"/>
                <w:color w:val="000000" w:themeColor="text1"/>
                <w:sz w:val="22"/>
                <w:u w:val="single"/>
              </w:rPr>
              <w:t>underlined</w:t>
            </w:r>
            <w:r w:rsidRPr="00E14DE7">
              <w:rPr>
                <w:rFonts w:cs="Times New Roman"/>
                <w:color w:val="000000" w:themeColor="text1"/>
                <w:sz w:val="22"/>
              </w:rPr>
              <w:t xml:space="preserve"> </w:t>
            </w:r>
            <w:r w:rsidR="007F1352" w:rsidRPr="00E14DE7">
              <w:rPr>
                <w:rFonts w:cs="Times New Roman"/>
                <w:color w:val="000000" w:themeColor="text1"/>
                <w:sz w:val="22"/>
              </w:rPr>
              <w:t xml:space="preserve">to ensure </w:t>
            </w:r>
            <w:r w:rsidR="007F1352" w:rsidRPr="00E14DE7">
              <w:rPr>
                <w:rFonts w:cs="Times New Roman"/>
                <w:color w:val="000000" w:themeColor="text1"/>
                <w:sz w:val="22"/>
              </w:rPr>
              <w:lastRenderedPageBreak/>
              <w:t>compliance with Article</w:t>
            </w:r>
            <w:r w:rsidRPr="00E14DE7">
              <w:rPr>
                <w:rFonts w:cs="Times New Roman"/>
                <w:color w:val="000000" w:themeColor="text1"/>
                <w:sz w:val="22"/>
              </w:rPr>
              <w:t xml:space="preserve"> 12, Clause 2, points a, d, m of the 2026 Draft Charter.</w:t>
            </w:r>
          </w:p>
        </w:tc>
      </w:tr>
      <w:tr w:rsidR="00C301A3" w:rsidRPr="00E14DE7" w14:paraId="4C94A2E7" w14:textId="77777777" w:rsidTr="00EB2EA0">
        <w:trPr>
          <w:trHeight w:val="20"/>
        </w:trPr>
        <w:tc>
          <w:tcPr>
            <w:tcW w:w="215" w:type="pct"/>
          </w:tcPr>
          <w:p w14:paraId="6E411807" w14:textId="77777777" w:rsidR="001D5A31" w:rsidRPr="00E14DE7" w:rsidRDefault="001D5A31" w:rsidP="00EB2EA0">
            <w:pPr>
              <w:pStyle w:val="ListParagraph"/>
              <w:widowControl w:val="0"/>
              <w:numPr>
                <w:ilvl w:val="0"/>
                <w:numId w:val="37"/>
              </w:numPr>
              <w:adjustRightInd w:val="0"/>
              <w:snapToGrid w:val="0"/>
              <w:spacing w:before="60" w:after="60"/>
              <w:jc w:val="center"/>
              <w:rPr>
                <w:rFonts w:cs="Times New Roman"/>
                <w:sz w:val="22"/>
              </w:rPr>
            </w:pPr>
          </w:p>
        </w:tc>
        <w:tc>
          <w:tcPr>
            <w:tcW w:w="574" w:type="pct"/>
          </w:tcPr>
          <w:p w14:paraId="5243B978" w14:textId="783F709C" w:rsidR="001D5A31" w:rsidRPr="00E14DE7" w:rsidRDefault="004F4E95" w:rsidP="00C301A3">
            <w:pPr>
              <w:widowControl w:val="0"/>
              <w:adjustRightInd w:val="0"/>
              <w:snapToGrid w:val="0"/>
              <w:spacing w:before="60" w:after="60"/>
              <w:rPr>
                <w:rFonts w:cs="Times New Roman"/>
                <w:sz w:val="22"/>
              </w:rPr>
            </w:pPr>
            <w:r w:rsidRPr="00E14DE7">
              <w:rPr>
                <w:rFonts w:cs="Times New Roman"/>
                <w:sz w:val="22"/>
              </w:rPr>
              <w:t>Article 4, Clauses 3 &amp; 5</w:t>
            </w:r>
          </w:p>
        </w:tc>
        <w:tc>
          <w:tcPr>
            <w:tcW w:w="1167" w:type="pct"/>
          </w:tcPr>
          <w:p w14:paraId="594ED1CF" w14:textId="18B8770F" w:rsidR="008523CC" w:rsidRPr="00E14DE7" w:rsidRDefault="008523CC" w:rsidP="00EB2EA0">
            <w:pPr>
              <w:spacing w:after="120"/>
              <w:jc w:val="both"/>
              <w:rPr>
                <w:rFonts w:cs="Times New Roman"/>
                <w:bCs/>
                <w:color w:val="000000"/>
                <w:sz w:val="22"/>
              </w:rPr>
            </w:pPr>
            <w:r w:rsidRPr="00E14DE7">
              <w:rPr>
                <w:rFonts w:cs="Times New Roman"/>
                <w:color w:val="000000"/>
                <w:sz w:val="22"/>
              </w:rPr>
              <w:t>3. Adhere to the Charter and the Internal Governance Regulations of Petrolimex.</w:t>
            </w:r>
          </w:p>
          <w:p w14:paraId="0B2F08A3" w14:textId="1CBB7BD0" w:rsidR="001D5A31" w:rsidRPr="00E14DE7" w:rsidRDefault="008523CC" w:rsidP="00B16CB3">
            <w:pPr>
              <w:spacing w:after="120"/>
              <w:jc w:val="both"/>
              <w:rPr>
                <w:rFonts w:cs="Times New Roman"/>
                <w:bCs/>
                <w:color w:val="000000"/>
                <w:sz w:val="22"/>
              </w:rPr>
            </w:pPr>
            <w:r w:rsidRPr="00E14DE7">
              <w:rPr>
                <w:rFonts w:cs="Times New Roman"/>
                <w:color w:val="000000"/>
                <w:sz w:val="22"/>
              </w:rPr>
              <w:t xml:space="preserve">5. Secure the information provided by Petrolimex as prescribed in Petrolimex’s Charter and the laws; to only use the provided information to exercise and protect their legal rights and benefits; to prohibit </w:t>
            </w:r>
            <w:r w:rsidR="00B16CB3" w:rsidRPr="00E14DE7">
              <w:rPr>
                <w:rFonts w:cs="Times New Roman"/>
                <w:color w:val="000000"/>
                <w:sz w:val="22"/>
              </w:rPr>
              <w:t>from</w:t>
            </w:r>
            <w:r w:rsidRPr="00E14DE7">
              <w:rPr>
                <w:rFonts w:cs="Times New Roman"/>
                <w:color w:val="000000"/>
                <w:sz w:val="22"/>
              </w:rPr>
              <w:t xml:space="preserve"> disseminat</w:t>
            </w:r>
            <w:r w:rsidR="00B16CB3" w:rsidRPr="00E14DE7">
              <w:rPr>
                <w:rFonts w:cs="Times New Roman"/>
                <w:color w:val="000000"/>
                <w:sz w:val="22"/>
              </w:rPr>
              <w:t>ing, copying</w:t>
            </w:r>
            <w:r w:rsidRPr="00E14DE7">
              <w:rPr>
                <w:rFonts w:cs="Times New Roman"/>
                <w:color w:val="000000"/>
                <w:sz w:val="22"/>
              </w:rPr>
              <w:t xml:space="preserve"> or send</w:t>
            </w:r>
            <w:r w:rsidR="00B16CB3" w:rsidRPr="00E14DE7">
              <w:rPr>
                <w:rFonts w:cs="Times New Roman"/>
                <w:color w:val="000000"/>
                <w:sz w:val="22"/>
              </w:rPr>
              <w:t>ing</w:t>
            </w:r>
            <w:r w:rsidRPr="00E14DE7">
              <w:rPr>
                <w:rFonts w:cs="Times New Roman"/>
                <w:color w:val="000000"/>
                <w:sz w:val="22"/>
              </w:rPr>
              <w:t xml:space="preserve"> the information provided by Petrolimex to other organizations and individuals.</w:t>
            </w:r>
          </w:p>
        </w:tc>
        <w:tc>
          <w:tcPr>
            <w:tcW w:w="2011" w:type="pct"/>
          </w:tcPr>
          <w:p w14:paraId="2B17D523" w14:textId="77777777" w:rsidR="00012EE8" w:rsidRPr="00E14DE7" w:rsidRDefault="00012EE8" w:rsidP="00C301A3">
            <w:pPr>
              <w:widowControl w:val="0"/>
              <w:adjustRightInd w:val="0"/>
              <w:snapToGrid w:val="0"/>
              <w:spacing w:before="60" w:after="60"/>
              <w:jc w:val="both"/>
              <w:rPr>
                <w:rFonts w:cs="Times New Roman"/>
                <w:sz w:val="22"/>
              </w:rPr>
            </w:pPr>
            <w:r w:rsidRPr="00E14DE7">
              <w:rPr>
                <w:rFonts w:cs="Times New Roman"/>
                <w:sz w:val="22"/>
              </w:rPr>
              <w:t>Article 5</w:t>
            </w:r>
          </w:p>
          <w:p w14:paraId="2BDF50F9" w14:textId="169D4975" w:rsidR="00EA382B" w:rsidRPr="00E14DE7" w:rsidRDefault="00EA382B"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 xml:space="preserve">3. Adhere to the Charter and the Internal Governance </w:t>
            </w:r>
            <w:r w:rsidRPr="00E14DE7">
              <w:rPr>
                <w:rFonts w:cs="Times New Roman"/>
                <w:color w:val="000000"/>
                <w:sz w:val="22"/>
                <w:u w:val="single"/>
              </w:rPr>
              <w:t xml:space="preserve">Regulations </w:t>
            </w:r>
            <w:r w:rsidRPr="00E14DE7">
              <w:rPr>
                <w:rFonts w:cs="Times New Roman"/>
                <w:color w:val="000000"/>
                <w:sz w:val="22"/>
              </w:rPr>
              <w:t>of Petrolimex.</w:t>
            </w:r>
          </w:p>
          <w:p w14:paraId="6C8C22F4" w14:textId="5A3B0295" w:rsidR="00EA382B" w:rsidRPr="00E14DE7" w:rsidRDefault="00EA382B"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 xml:space="preserve">5. Secure the information provided by Petrolimex as prescribed in this Regulation, the Petrolimex’s Charter, </w:t>
            </w:r>
            <w:r w:rsidRPr="00E14DE7">
              <w:rPr>
                <w:rFonts w:cs="Times New Roman"/>
                <w:color w:val="000000"/>
                <w:sz w:val="22"/>
                <w:u w:val="single"/>
              </w:rPr>
              <w:t>internal regulations</w:t>
            </w:r>
            <w:r w:rsidRPr="00E14DE7">
              <w:rPr>
                <w:rFonts w:cs="Times New Roman"/>
                <w:color w:val="000000"/>
                <w:sz w:val="22"/>
              </w:rPr>
              <w:t xml:space="preserve"> and the laws; to only use the provided information to exercise and protect their legal rights and benefits; to prohibit </w:t>
            </w:r>
            <w:r w:rsidR="00B16CB3" w:rsidRPr="00E14DE7">
              <w:rPr>
                <w:rFonts w:cs="Times New Roman"/>
                <w:color w:val="000000"/>
                <w:sz w:val="22"/>
              </w:rPr>
              <w:t>from</w:t>
            </w:r>
            <w:r w:rsidRPr="00E14DE7">
              <w:rPr>
                <w:rFonts w:cs="Times New Roman"/>
                <w:color w:val="000000"/>
                <w:sz w:val="22"/>
              </w:rPr>
              <w:t xml:space="preserve"> disseminat</w:t>
            </w:r>
            <w:r w:rsidR="00B16CB3" w:rsidRPr="00E14DE7">
              <w:rPr>
                <w:rFonts w:cs="Times New Roman"/>
                <w:color w:val="000000"/>
                <w:sz w:val="22"/>
              </w:rPr>
              <w:t>ing, copying</w:t>
            </w:r>
            <w:r w:rsidRPr="00E14DE7">
              <w:rPr>
                <w:rFonts w:cs="Times New Roman"/>
                <w:color w:val="000000"/>
                <w:sz w:val="22"/>
              </w:rPr>
              <w:t xml:space="preserve"> or send</w:t>
            </w:r>
            <w:r w:rsidR="00B16CB3" w:rsidRPr="00E14DE7">
              <w:rPr>
                <w:rFonts w:cs="Times New Roman"/>
                <w:color w:val="000000"/>
                <w:sz w:val="22"/>
              </w:rPr>
              <w:t>ing</w:t>
            </w:r>
            <w:r w:rsidRPr="00E14DE7">
              <w:rPr>
                <w:rFonts w:cs="Times New Roman"/>
                <w:color w:val="000000"/>
                <w:sz w:val="22"/>
              </w:rPr>
              <w:t xml:space="preserve"> the information provided by Petrolimex to other organizations and individuals.</w:t>
            </w:r>
          </w:p>
          <w:p w14:paraId="266B191A" w14:textId="77777777" w:rsidR="001D5A31" w:rsidRPr="00E14DE7" w:rsidRDefault="001D5A31" w:rsidP="00C301A3">
            <w:pPr>
              <w:widowControl w:val="0"/>
              <w:adjustRightInd w:val="0"/>
              <w:snapToGrid w:val="0"/>
              <w:spacing w:before="60" w:after="60"/>
              <w:jc w:val="both"/>
              <w:rPr>
                <w:rFonts w:cs="Times New Roman"/>
                <w:bCs/>
                <w:color w:val="000000"/>
                <w:sz w:val="22"/>
              </w:rPr>
            </w:pPr>
          </w:p>
        </w:tc>
        <w:tc>
          <w:tcPr>
            <w:tcW w:w="1033" w:type="pct"/>
          </w:tcPr>
          <w:p w14:paraId="75AEC3A6" w14:textId="1AEB688A" w:rsidR="001D5A31" w:rsidRPr="00E14DE7" w:rsidRDefault="00DF0843"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 xml:space="preserve">Amended contents are </w:t>
            </w:r>
            <w:r w:rsidRPr="00E14DE7">
              <w:rPr>
                <w:rFonts w:cs="Times New Roman"/>
                <w:color w:val="000000" w:themeColor="text1"/>
                <w:sz w:val="22"/>
                <w:u w:val="single"/>
              </w:rPr>
              <w:t>underlined</w:t>
            </w:r>
            <w:r w:rsidRPr="00E14DE7">
              <w:rPr>
                <w:rFonts w:cs="Times New Roman"/>
                <w:color w:val="000000" w:themeColor="text1"/>
                <w:sz w:val="22"/>
              </w:rPr>
              <w:t xml:space="preserve"> </w:t>
            </w:r>
            <w:r w:rsidR="007F1352" w:rsidRPr="00E14DE7">
              <w:rPr>
                <w:rFonts w:cs="Times New Roman"/>
                <w:color w:val="000000" w:themeColor="text1"/>
                <w:sz w:val="22"/>
              </w:rPr>
              <w:t>to ensure compliance with Article</w:t>
            </w:r>
            <w:r w:rsidRPr="00E14DE7">
              <w:rPr>
                <w:rFonts w:cs="Times New Roman"/>
                <w:color w:val="000000" w:themeColor="text1"/>
                <w:sz w:val="22"/>
              </w:rPr>
              <w:t xml:space="preserve"> 13, Clause 3, 5 of the 2026 Draft Charter.</w:t>
            </w:r>
          </w:p>
        </w:tc>
      </w:tr>
      <w:tr w:rsidR="00C301A3" w:rsidRPr="00E14DE7" w14:paraId="66ED271A" w14:textId="77777777" w:rsidTr="00EB2EA0">
        <w:trPr>
          <w:trHeight w:val="20"/>
        </w:trPr>
        <w:tc>
          <w:tcPr>
            <w:tcW w:w="215" w:type="pct"/>
          </w:tcPr>
          <w:p w14:paraId="765DA37C" w14:textId="77777777" w:rsidR="00DF0843" w:rsidRPr="00E14DE7" w:rsidRDefault="00DF0843" w:rsidP="00EB2EA0">
            <w:pPr>
              <w:pStyle w:val="ListParagraph"/>
              <w:widowControl w:val="0"/>
              <w:numPr>
                <w:ilvl w:val="0"/>
                <w:numId w:val="37"/>
              </w:numPr>
              <w:adjustRightInd w:val="0"/>
              <w:snapToGrid w:val="0"/>
              <w:spacing w:before="60" w:after="60"/>
              <w:jc w:val="center"/>
              <w:rPr>
                <w:rFonts w:cs="Times New Roman"/>
                <w:sz w:val="22"/>
              </w:rPr>
            </w:pPr>
          </w:p>
        </w:tc>
        <w:tc>
          <w:tcPr>
            <w:tcW w:w="574" w:type="pct"/>
          </w:tcPr>
          <w:p w14:paraId="0155B22E" w14:textId="6DC703DC" w:rsidR="00DF0843" w:rsidRPr="00E14DE7" w:rsidRDefault="00DF0843" w:rsidP="00C301A3">
            <w:pPr>
              <w:widowControl w:val="0"/>
              <w:adjustRightInd w:val="0"/>
              <w:snapToGrid w:val="0"/>
              <w:spacing w:before="60" w:after="60"/>
              <w:rPr>
                <w:rFonts w:cs="Times New Roman"/>
                <w:sz w:val="22"/>
              </w:rPr>
            </w:pPr>
            <w:r w:rsidRPr="00E14DE7">
              <w:rPr>
                <w:rFonts w:cs="Times New Roman"/>
                <w:sz w:val="22"/>
              </w:rPr>
              <w:t>Article 4, Clause 6, point d</w:t>
            </w:r>
          </w:p>
        </w:tc>
        <w:tc>
          <w:tcPr>
            <w:tcW w:w="1167" w:type="pct"/>
          </w:tcPr>
          <w:p w14:paraId="4FA13200" w14:textId="1B53DD9B" w:rsidR="00DF0843" w:rsidRPr="00E14DE7" w:rsidRDefault="005E2E65" w:rsidP="00C301A3">
            <w:pPr>
              <w:spacing w:after="120"/>
              <w:jc w:val="both"/>
              <w:rPr>
                <w:rFonts w:cs="Times New Roman"/>
                <w:bCs/>
                <w:color w:val="000000"/>
                <w:sz w:val="22"/>
              </w:rPr>
            </w:pPr>
            <w:r w:rsidRPr="00E14DE7">
              <w:rPr>
                <w:rFonts w:cs="Times New Roman"/>
                <w:color w:val="000000"/>
                <w:sz w:val="22"/>
              </w:rPr>
              <w:t>d) Deliver the votes to meeting through registered mail, fax or email;</w:t>
            </w:r>
          </w:p>
        </w:tc>
        <w:tc>
          <w:tcPr>
            <w:tcW w:w="2011" w:type="pct"/>
          </w:tcPr>
          <w:p w14:paraId="37D5F68B" w14:textId="3BB609BE" w:rsidR="00CA4142" w:rsidRPr="00E14DE7" w:rsidRDefault="00CA4142"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Article 5, Clause 6</w:t>
            </w:r>
          </w:p>
          <w:p w14:paraId="7608190B" w14:textId="02A21861" w:rsidR="00DF0843" w:rsidRPr="00E14DE7" w:rsidRDefault="00CA4142"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 xml:space="preserve">d) Deliver the votes to meeting through registered mail, fax </w:t>
            </w:r>
            <w:r w:rsidRPr="00E14DE7">
              <w:rPr>
                <w:rFonts w:cs="Times New Roman"/>
                <w:color w:val="000000"/>
                <w:sz w:val="22"/>
                <w:u w:val="single"/>
              </w:rPr>
              <w:t>or email or other proper data message in accordance with the procedures for convening and voting at the General Meeting of Shareholders as defined in th</w:t>
            </w:r>
            <w:r w:rsidRPr="00E14DE7">
              <w:rPr>
                <w:rFonts w:cs="Times New Roman"/>
                <w:i/>
                <w:iCs/>
                <w:color w:val="000000"/>
                <w:sz w:val="22"/>
                <w:u w:val="single"/>
              </w:rPr>
              <w:t>e Charter;</w:t>
            </w:r>
          </w:p>
        </w:tc>
        <w:tc>
          <w:tcPr>
            <w:tcW w:w="1033" w:type="pct"/>
          </w:tcPr>
          <w:p w14:paraId="2FB5A7A5" w14:textId="7066E16E" w:rsidR="00DF0843" w:rsidRPr="00E14DE7" w:rsidRDefault="002736DA"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 xml:space="preserve">Amended contents are </w:t>
            </w:r>
            <w:r w:rsidRPr="00E14DE7">
              <w:rPr>
                <w:rFonts w:cs="Times New Roman"/>
                <w:color w:val="000000" w:themeColor="text1"/>
                <w:sz w:val="22"/>
                <w:u w:val="single"/>
              </w:rPr>
              <w:t>underlined</w:t>
            </w:r>
            <w:r w:rsidRPr="00E14DE7">
              <w:rPr>
                <w:rFonts w:cs="Times New Roman"/>
                <w:color w:val="000000" w:themeColor="text1"/>
                <w:sz w:val="22"/>
              </w:rPr>
              <w:t xml:space="preserve"> </w:t>
            </w:r>
            <w:r w:rsidR="007F1352" w:rsidRPr="00E14DE7">
              <w:rPr>
                <w:rFonts w:cs="Times New Roman"/>
                <w:color w:val="000000" w:themeColor="text1"/>
                <w:sz w:val="22"/>
              </w:rPr>
              <w:t>to ensure compliance with Article</w:t>
            </w:r>
            <w:r w:rsidRPr="00E14DE7">
              <w:rPr>
                <w:rFonts w:cs="Times New Roman"/>
                <w:color w:val="000000" w:themeColor="text1"/>
                <w:sz w:val="22"/>
              </w:rPr>
              <w:t xml:space="preserve"> 13, Clause 6, point d of the 2026 Draft Charter.</w:t>
            </w:r>
          </w:p>
        </w:tc>
      </w:tr>
      <w:tr w:rsidR="00C301A3" w:rsidRPr="00E14DE7" w14:paraId="658B186A" w14:textId="77777777" w:rsidTr="00EB2EA0">
        <w:trPr>
          <w:trHeight w:val="20"/>
        </w:trPr>
        <w:tc>
          <w:tcPr>
            <w:tcW w:w="215" w:type="pct"/>
          </w:tcPr>
          <w:p w14:paraId="7B67C68E" w14:textId="77777777" w:rsidR="00202C5D" w:rsidRPr="00E14DE7" w:rsidRDefault="00202C5D" w:rsidP="00EB2EA0">
            <w:pPr>
              <w:pStyle w:val="ListParagraph"/>
              <w:widowControl w:val="0"/>
              <w:numPr>
                <w:ilvl w:val="0"/>
                <w:numId w:val="37"/>
              </w:numPr>
              <w:adjustRightInd w:val="0"/>
              <w:snapToGrid w:val="0"/>
              <w:spacing w:before="60" w:after="60"/>
              <w:jc w:val="center"/>
              <w:rPr>
                <w:rFonts w:cs="Times New Roman"/>
                <w:sz w:val="22"/>
              </w:rPr>
            </w:pPr>
          </w:p>
        </w:tc>
        <w:tc>
          <w:tcPr>
            <w:tcW w:w="574" w:type="pct"/>
          </w:tcPr>
          <w:p w14:paraId="57392A2C" w14:textId="16AD5910" w:rsidR="00202C5D" w:rsidRPr="00E14DE7" w:rsidRDefault="00202C5D" w:rsidP="00C301A3">
            <w:pPr>
              <w:widowControl w:val="0"/>
              <w:adjustRightInd w:val="0"/>
              <w:snapToGrid w:val="0"/>
              <w:spacing w:before="60" w:after="60"/>
              <w:rPr>
                <w:rFonts w:cs="Times New Roman"/>
                <w:color w:val="000000" w:themeColor="text1"/>
                <w:sz w:val="22"/>
              </w:rPr>
            </w:pPr>
            <w:r w:rsidRPr="00E14DE7">
              <w:rPr>
                <w:rFonts w:cs="Times New Roman"/>
                <w:color w:val="000000" w:themeColor="text1"/>
                <w:sz w:val="22"/>
              </w:rPr>
              <w:t>Article 5, Clause 2</w:t>
            </w:r>
          </w:p>
        </w:tc>
        <w:tc>
          <w:tcPr>
            <w:tcW w:w="1167" w:type="pct"/>
          </w:tcPr>
          <w:p w14:paraId="4713CC1A" w14:textId="11255799" w:rsidR="00202C5D" w:rsidRPr="00E14DE7" w:rsidRDefault="00E85DA0"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 xml:space="preserve">2. The Board of Management shall convene the Annual general Meeting of Shareholders and </w:t>
            </w:r>
            <w:r w:rsidRPr="00E14DE7">
              <w:rPr>
                <w:rFonts w:cs="Times New Roman"/>
                <w:color w:val="000000" w:themeColor="text1"/>
                <w:sz w:val="22"/>
              </w:rPr>
              <w:lastRenderedPageBreak/>
              <w:t>select proper place. The Annual General Meeting of Shareholders shall decide the issues as prescribed by the laws and Petrolimex’s Charter, particularly approve the audited annual financial statements. In the event that Petrolimex’s Auditor’s Report of the annual financial statements has the material ad-hoc clauses, contrary auditor’s opinion or refusal, the approved auditor must be invited to conduct audit of Petrolimex’s financial statements, participate into the Annual General Meeting of Shareholders and represent for the aforesaid auditor to participate into the Annual General Meeting of Shareholders of Petrolimex.</w:t>
            </w:r>
          </w:p>
        </w:tc>
        <w:tc>
          <w:tcPr>
            <w:tcW w:w="2011" w:type="pct"/>
          </w:tcPr>
          <w:p w14:paraId="6A2B4498" w14:textId="7B48EB9D" w:rsidR="001A64DF" w:rsidRPr="00E14DE7" w:rsidRDefault="001A64DF"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lastRenderedPageBreak/>
              <w:t>Article 6</w:t>
            </w:r>
          </w:p>
          <w:p w14:paraId="5D89CD6C" w14:textId="5ABEF0DD" w:rsidR="00202C5D" w:rsidRPr="00E14DE7" w:rsidRDefault="00202C5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 xml:space="preserve">2. The Board of Management shall convene the Annual general Meeting of Shareholders and select proper place </w:t>
            </w:r>
            <w:r w:rsidRPr="00E14DE7">
              <w:rPr>
                <w:rFonts w:cs="Times New Roman"/>
                <w:color w:val="000000" w:themeColor="text1"/>
                <w:sz w:val="22"/>
              </w:rPr>
              <w:lastRenderedPageBreak/>
              <w:t xml:space="preserve">and </w:t>
            </w:r>
            <w:r w:rsidRPr="00E14DE7">
              <w:rPr>
                <w:rFonts w:cs="Times New Roman"/>
                <w:color w:val="000000" w:themeColor="text1"/>
                <w:sz w:val="22"/>
                <w:u w:val="single"/>
              </w:rPr>
              <w:t>form.</w:t>
            </w:r>
            <w:r w:rsidRPr="00E14DE7">
              <w:rPr>
                <w:rFonts w:cs="Times New Roman"/>
                <w:color w:val="000000" w:themeColor="text1"/>
                <w:sz w:val="22"/>
              </w:rPr>
              <w:t xml:space="preserve"> The Annual General Meeting of Shareholders shall decide the issues as prescribed by the laws and Petrolimex’s Charter, particularly approve the audited annual financial statements. In the event that Petrolimex’s Auditor’s Report of the annual financial statements has the material ad-hoc clauses, contrary auditor’s opinion or refusal, the approved auditor must be invited to conduct audit of Petrolimex’s financial statements, participate into the Annual General Meeting of Shareholders and represent for the aforesaid auditor to participate into the Annual General Meeting of Shareholders of Petrolimex.</w:t>
            </w:r>
          </w:p>
        </w:tc>
        <w:tc>
          <w:tcPr>
            <w:tcW w:w="1033" w:type="pct"/>
          </w:tcPr>
          <w:p w14:paraId="0A9A891F" w14:textId="65717BE7" w:rsidR="00202C5D" w:rsidRPr="00E14DE7" w:rsidRDefault="00202C5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lastRenderedPageBreak/>
              <w:t xml:space="preserve">Amended contents are </w:t>
            </w:r>
            <w:r w:rsidRPr="00E14DE7">
              <w:rPr>
                <w:rFonts w:cs="Times New Roman"/>
                <w:color w:val="000000" w:themeColor="text1"/>
                <w:sz w:val="22"/>
                <w:u w:val="single"/>
              </w:rPr>
              <w:t>underlined</w:t>
            </w:r>
            <w:r w:rsidRPr="00E14DE7">
              <w:rPr>
                <w:rFonts w:cs="Times New Roman"/>
                <w:color w:val="000000" w:themeColor="text1"/>
                <w:sz w:val="22"/>
              </w:rPr>
              <w:t xml:space="preserve"> </w:t>
            </w:r>
            <w:r w:rsidR="007F1352" w:rsidRPr="00E14DE7">
              <w:rPr>
                <w:rFonts w:cs="Times New Roman"/>
                <w:color w:val="000000" w:themeColor="text1"/>
                <w:sz w:val="22"/>
              </w:rPr>
              <w:t>to ensure compliance with Article</w:t>
            </w:r>
            <w:r w:rsidRPr="00E14DE7">
              <w:rPr>
                <w:rFonts w:cs="Times New Roman"/>
                <w:color w:val="000000" w:themeColor="text1"/>
                <w:sz w:val="22"/>
              </w:rPr>
              <w:t xml:space="preserve"> 14, </w:t>
            </w:r>
            <w:r w:rsidRPr="00E14DE7">
              <w:rPr>
                <w:rFonts w:cs="Times New Roman"/>
                <w:color w:val="000000" w:themeColor="text1"/>
                <w:sz w:val="22"/>
              </w:rPr>
              <w:lastRenderedPageBreak/>
              <w:t>Clause 2 of the 2026 Draft Charter.</w:t>
            </w:r>
          </w:p>
        </w:tc>
      </w:tr>
      <w:tr w:rsidR="00C301A3" w:rsidRPr="00E14DE7" w14:paraId="7FE01D0C" w14:textId="77777777" w:rsidTr="00EB2EA0">
        <w:trPr>
          <w:trHeight w:val="20"/>
        </w:trPr>
        <w:tc>
          <w:tcPr>
            <w:tcW w:w="215" w:type="pct"/>
          </w:tcPr>
          <w:p w14:paraId="6213DD51" w14:textId="77777777" w:rsidR="00202C5D" w:rsidRPr="00E14DE7" w:rsidRDefault="00202C5D" w:rsidP="00EB2EA0">
            <w:pPr>
              <w:pStyle w:val="ListParagraph"/>
              <w:widowControl w:val="0"/>
              <w:numPr>
                <w:ilvl w:val="0"/>
                <w:numId w:val="37"/>
              </w:numPr>
              <w:adjustRightInd w:val="0"/>
              <w:snapToGrid w:val="0"/>
              <w:spacing w:before="60" w:after="60"/>
              <w:jc w:val="center"/>
              <w:rPr>
                <w:rFonts w:cs="Times New Roman"/>
                <w:sz w:val="22"/>
              </w:rPr>
            </w:pPr>
          </w:p>
        </w:tc>
        <w:tc>
          <w:tcPr>
            <w:tcW w:w="574" w:type="pct"/>
          </w:tcPr>
          <w:p w14:paraId="2F1E4D4F" w14:textId="6441726C" w:rsidR="00202C5D" w:rsidRPr="00E14DE7" w:rsidRDefault="00202C5D" w:rsidP="00C301A3">
            <w:pPr>
              <w:widowControl w:val="0"/>
              <w:adjustRightInd w:val="0"/>
              <w:snapToGrid w:val="0"/>
              <w:spacing w:before="60" w:after="60"/>
              <w:rPr>
                <w:rFonts w:cs="Times New Roman"/>
                <w:color w:val="000000" w:themeColor="text1"/>
                <w:sz w:val="22"/>
              </w:rPr>
            </w:pPr>
            <w:r w:rsidRPr="00E14DE7">
              <w:rPr>
                <w:rFonts w:cs="Times New Roman"/>
                <w:color w:val="000000" w:themeColor="text1"/>
                <w:sz w:val="22"/>
              </w:rPr>
              <w:t>Article 5, Clause 3, point dd</w:t>
            </w:r>
          </w:p>
        </w:tc>
        <w:tc>
          <w:tcPr>
            <w:tcW w:w="1167" w:type="pct"/>
          </w:tcPr>
          <w:p w14:paraId="3888A438" w14:textId="2D5CCFE4" w:rsidR="00202C5D" w:rsidRPr="00E14DE7" w:rsidRDefault="00E732AC"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dd) Other cases as prescribed by the laws and the internal regulations of Petrolimex.</w:t>
            </w:r>
          </w:p>
        </w:tc>
        <w:tc>
          <w:tcPr>
            <w:tcW w:w="2011" w:type="pct"/>
          </w:tcPr>
          <w:p w14:paraId="64E381B0" w14:textId="1378991B" w:rsidR="007C3B26" w:rsidRPr="00E14DE7" w:rsidRDefault="007C3B26" w:rsidP="00C301A3">
            <w:pPr>
              <w:widowControl w:val="0"/>
              <w:adjustRightInd w:val="0"/>
              <w:snapToGrid w:val="0"/>
              <w:spacing w:before="60" w:after="60"/>
              <w:jc w:val="both"/>
              <w:rPr>
                <w:rFonts w:cs="Times New Roman"/>
                <w:bCs/>
                <w:color w:val="000000" w:themeColor="text1"/>
                <w:sz w:val="22"/>
              </w:rPr>
            </w:pPr>
            <w:r w:rsidRPr="00E14DE7">
              <w:rPr>
                <w:rFonts w:cs="Times New Roman"/>
                <w:color w:val="000000" w:themeColor="text1"/>
                <w:sz w:val="22"/>
              </w:rPr>
              <w:t>Article 6, Clause 3</w:t>
            </w:r>
          </w:p>
          <w:p w14:paraId="6D10CDFC" w14:textId="5AD4EB00" w:rsidR="00202C5D" w:rsidRPr="00E14DE7" w:rsidRDefault="007C3B26"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 xml:space="preserve">dd) Other cases as prescribed by the laws </w:t>
            </w:r>
            <w:r w:rsidRPr="00E14DE7">
              <w:rPr>
                <w:rFonts w:cs="Times New Roman"/>
                <w:color w:val="000000" w:themeColor="text1"/>
                <w:sz w:val="22"/>
                <w:u w:val="single"/>
              </w:rPr>
              <w:t>and the Petrolimex Charter.</w:t>
            </w:r>
          </w:p>
        </w:tc>
        <w:tc>
          <w:tcPr>
            <w:tcW w:w="1033" w:type="pct"/>
          </w:tcPr>
          <w:p w14:paraId="38BB2DFD" w14:textId="3F95119D" w:rsidR="00202C5D" w:rsidRPr="00E14DE7" w:rsidRDefault="00202C5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 xml:space="preserve">Amended contents are made </w:t>
            </w:r>
            <w:r w:rsidR="007F1352" w:rsidRPr="00E14DE7">
              <w:rPr>
                <w:rFonts w:cs="Times New Roman"/>
                <w:color w:val="000000" w:themeColor="text1"/>
                <w:sz w:val="22"/>
              </w:rPr>
              <w:t>to ensure compliance with Article</w:t>
            </w:r>
            <w:r w:rsidRPr="00E14DE7">
              <w:rPr>
                <w:rFonts w:cs="Times New Roman"/>
                <w:color w:val="000000" w:themeColor="text1"/>
                <w:sz w:val="22"/>
              </w:rPr>
              <w:t xml:space="preserve"> 14, Clause 3, point dd of the 2026 Draft Charter.</w:t>
            </w:r>
          </w:p>
        </w:tc>
      </w:tr>
      <w:tr w:rsidR="00C301A3" w:rsidRPr="00E14DE7" w14:paraId="0B0234D1" w14:textId="77777777" w:rsidTr="00EB2EA0">
        <w:trPr>
          <w:trHeight w:val="20"/>
        </w:trPr>
        <w:tc>
          <w:tcPr>
            <w:tcW w:w="215" w:type="pct"/>
          </w:tcPr>
          <w:p w14:paraId="24349684" w14:textId="77777777" w:rsidR="00202C5D" w:rsidRPr="00E14DE7" w:rsidRDefault="00202C5D" w:rsidP="00EB2EA0">
            <w:pPr>
              <w:pStyle w:val="ListParagraph"/>
              <w:widowControl w:val="0"/>
              <w:numPr>
                <w:ilvl w:val="0"/>
                <w:numId w:val="37"/>
              </w:numPr>
              <w:adjustRightInd w:val="0"/>
              <w:snapToGrid w:val="0"/>
              <w:spacing w:before="60" w:after="60"/>
              <w:jc w:val="center"/>
              <w:rPr>
                <w:rFonts w:cs="Times New Roman"/>
                <w:sz w:val="22"/>
              </w:rPr>
            </w:pPr>
          </w:p>
        </w:tc>
        <w:tc>
          <w:tcPr>
            <w:tcW w:w="574" w:type="pct"/>
          </w:tcPr>
          <w:p w14:paraId="68807EE3" w14:textId="272E0A3A" w:rsidR="00202C5D" w:rsidRPr="00E14DE7" w:rsidRDefault="00202C5D" w:rsidP="00C301A3">
            <w:pPr>
              <w:rPr>
                <w:rFonts w:eastAsia="OptimaVO" w:cs="Times New Roman"/>
                <w:sz w:val="22"/>
              </w:rPr>
            </w:pPr>
            <w:r w:rsidRPr="00E14DE7">
              <w:rPr>
                <w:rFonts w:cs="Times New Roman"/>
                <w:sz w:val="22"/>
              </w:rPr>
              <w:t>Article 5, Clause 4</w:t>
            </w:r>
          </w:p>
        </w:tc>
        <w:tc>
          <w:tcPr>
            <w:tcW w:w="1167" w:type="pct"/>
          </w:tcPr>
          <w:p w14:paraId="4F498105" w14:textId="6772348F" w:rsidR="00202C5D" w:rsidRPr="00E14DE7" w:rsidRDefault="00012EE8" w:rsidP="00C301A3">
            <w:pPr>
              <w:spacing w:before="60" w:after="60"/>
              <w:jc w:val="both"/>
              <w:rPr>
                <w:rFonts w:cs="Times New Roman"/>
                <w:sz w:val="22"/>
              </w:rPr>
            </w:pPr>
            <w:r w:rsidRPr="00E14DE7">
              <w:rPr>
                <w:rFonts w:cs="Times New Roman"/>
                <w:color w:val="000000" w:themeColor="text1"/>
                <w:sz w:val="22"/>
              </w:rPr>
              <w:t>4. Organization of Online General Meeting of Shareholders</w:t>
            </w:r>
          </w:p>
          <w:p w14:paraId="6AEA0EBD" w14:textId="4AA2B61E" w:rsidR="00202C5D" w:rsidRPr="00E14DE7" w:rsidRDefault="00202C5D" w:rsidP="00C301A3">
            <w:pPr>
              <w:spacing w:before="60" w:after="60"/>
              <w:jc w:val="both"/>
              <w:rPr>
                <w:rFonts w:cs="Times New Roman"/>
                <w:sz w:val="22"/>
              </w:rPr>
            </w:pPr>
            <w:r w:rsidRPr="00E14DE7">
              <w:rPr>
                <w:rFonts w:cs="Times New Roman"/>
                <w:color w:val="000000" w:themeColor="text1"/>
                <w:sz w:val="22"/>
              </w:rPr>
              <w:t xml:space="preserve">a) According to the existing conditions, the Board of Management decides to convene the General Meeting via an online platform or Online General Meeting in combination with direct meeting organization </w:t>
            </w:r>
            <w:r w:rsidRPr="00E14DE7">
              <w:rPr>
                <w:rFonts w:cs="Times New Roman"/>
                <w:color w:val="000000" w:themeColor="text1"/>
                <w:sz w:val="22"/>
              </w:rPr>
              <w:lastRenderedPageBreak/>
              <w:t>forms. In case of online meeting, the Organizing Committee established by the Board of Management is obligated to fulfill the procedures and tasks to serve for online meeting organization. Petrolimex applies all most cutting-edge IT solutions to facilitate the shareholders to attend the Online General Meeting in the most convenient manner.</w:t>
            </w:r>
          </w:p>
          <w:p w14:paraId="44859CA9" w14:textId="37B19933" w:rsidR="00202C5D" w:rsidRPr="00E14DE7" w:rsidRDefault="00202C5D" w:rsidP="00C301A3">
            <w:pPr>
              <w:spacing w:before="60" w:after="60"/>
              <w:jc w:val="both"/>
              <w:rPr>
                <w:rFonts w:cs="Times New Roman"/>
                <w:sz w:val="22"/>
              </w:rPr>
            </w:pPr>
            <w:r w:rsidRPr="00E14DE7">
              <w:rPr>
                <w:rFonts w:cs="Times New Roman"/>
                <w:color w:val="000000" w:themeColor="text1"/>
                <w:sz w:val="22"/>
              </w:rPr>
              <w:t>b) The registration form of Online Meeting Participation and electronic voting are as valid as those physically attended and voted at the direct meeting.</w:t>
            </w:r>
          </w:p>
          <w:p w14:paraId="74ED7502" w14:textId="24DF075D" w:rsidR="00202C5D" w:rsidRPr="00E14DE7" w:rsidRDefault="00B16CB3" w:rsidP="00C301A3">
            <w:pPr>
              <w:spacing w:before="60" w:after="60"/>
              <w:jc w:val="both"/>
              <w:rPr>
                <w:rFonts w:cs="Times New Roman"/>
                <w:sz w:val="22"/>
              </w:rPr>
            </w:pPr>
            <w:r w:rsidRPr="00E14DE7">
              <w:rPr>
                <w:rFonts w:cs="Times New Roman"/>
                <w:color w:val="000000" w:themeColor="text1"/>
                <w:sz w:val="22"/>
              </w:rPr>
              <w:t>c</w:t>
            </w:r>
            <w:r w:rsidR="00202C5D" w:rsidRPr="00E14DE7">
              <w:rPr>
                <w:rFonts w:cs="Times New Roman"/>
                <w:color w:val="000000" w:themeColor="text1"/>
                <w:sz w:val="22"/>
              </w:rPr>
              <w:t>) The system for organizing the Online General Meeting of Shareholders and electronic voting must meet the following conditions:</w:t>
            </w:r>
          </w:p>
          <w:p w14:paraId="0777BBD9" w14:textId="33D204CA" w:rsidR="00202C5D" w:rsidRPr="00E14DE7" w:rsidRDefault="00202C5D" w:rsidP="00C301A3">
            <w:pPr>
              <w:spacing w:before="60" w:after="60"/>
              <w:jc w:val="both"/>
              <w:rPr>
                <w:rFonts w:cs="Times New Roman"/>
                <w:sz w:val="22"/>
              </w:rPr>
            </w:pPr>
            <w:r w:rsidRPr="00E14DE7">
              <w:rPr>
                <w:rFonts w:cs="Times New Roman"/>
                <w:color w:val="000000" w:themeColor="text1"/>
                <w:sz w:val="22"/>
              </w:rPr>
              <w:t>- The system must be maintained safely and stably, ready to meet the connection and participation requirements of shareholders.</w:t>
            </w:r>
          </w:p>
          <w:p w14:paraId="2EC0C3CC" w14:textId="2073C8D4" w:rsidR="00202C5D" w:rsidRPr="00E14DE7" w:rsidRDefault="00202C5D" w:rsidP="00C301A3">
            <w:pPr>
              <w:spacing w:before="60" w:after="60"/>
              <w:jc w:val="both"/>
              <w:rPr>
                <w:rFonts w:cs="Times New Roman"/>
                <w:sz w:val="22"/>
              </w:rPr>
            </w:pPr>
            <w:r w:rsidRPr="00E14DE7">
              <w:rPr>
                <w:rFonts w:cs="Times New Roman"/>
                <w:color w:val="000000" w:themeColor="text1"/>
                <w:sz w:val="22"/>
              </w:rPr>
              <w:t>- The main venue must be qualified with the conditions of audio, lighting, transmission line, power supply, electronic media and other facilities in accordance with the requirements and nature of the online meeting.</w:t>
            </w:r>
          </w:p>
          <w:p w14:paraId="50728B32" w14:textId="558172B3" w:rsidR="00202C5D" w:rsidRPr="00E14DE7" w:rsidRDefault="00202C5D" w:rsidP="00C301A3">
            <w:pPr>
              <w:spacing w:before="60" w:after="60"/>
              <w:jc w:val="both"/>
              <w:rPr>
                <w:rFonts w:cs="Times New Roman"/>
                <w:sz w:val="22"/>
              </w:rPr>
            </w:pPr>
            <w:r w:rsidRPr="00E14DE7">
              <w:rPr>
                <w:rFonts w:cs="Times New Roman"/>
                <w:color w:val="000000" w:themeColor="text1"/>
                <w:sz w:val="22"/>
              </w:rPr>
              <w:lastRenderedPageBreak/>
              <w:t>- Information security must be ensured, and login credentials must be kept confidential. All information received and provided through the system must comply with information security principles and relevant provisions of Law on Cyberinformation Security and Law on Cybersecurity</w:t>
            </w:r>
          </w:p>
          <w:p w14:paraId="2B1B37F2" w14:textId="1AF5AAE3" w:rsidR="00202C5D" w:rsidRPr="00E14DE7" w:rsidRDefault="00202C5D" w:rsidP="00C301A3">
            <w:pPr>
              <w:spacing w:before="60" w:after="60"/>
              <w:jc w:val="both"/>
              <w:rPr>
                <w:rFonts w:cs="Times New Roman"/>
                <w:sz w:val="22"/>
              </w:rPr>
            </w:pPr>
            <w:r w:rsidRPr="00E14DE7">
              <w:rPr>
                <w:rFonts w:cs="Times New Roman"/>
                <w:color w:val="000000" w:themeColor="text1"/>
                <w:sz w:val="22"/>
              </w:rPr>
              <w:t>- Electronic data related to the online General Meeting of Shareholders must be recorded, stored, and used in compliance with regulations.</w:t>
            </w:r>
          </w:p>
          <w:p w14:paraId="1F319E37" w14:textId="416216C8" w:rsidR="00202C5D" w:rsidRPr="00E14DE7" w:rsidRDefault="00202C5D" w:rsidP="00C301A3">
            <w:pPr>
              <w:spacing w:before="60" w:after="60"/>
              <w:jc w:val="both"/>
              <w:rPr>
                <w:rFonts w:eastAsia="OptimaVO" w:cs="Times New Roman"/>
                <w:color w:val="000000" w:themeColor="text1"/>
                <w:sz w:val="22"/>
              </w:rPr>
            </w:pPr>
            <w:r w:rsidRPr="00E14DE7">
              <w:rPr>
                <w:rFonts w:cs="Times New Roman"/>
                <w:color w:val="000000" w:themeColor="text1"/>
                <w:sz w:val="22"/>
              </w:rPr>
              <w:t xml:space="preserve">d. The Board of Management is responsible for promulgating the specific provisions and </w:t>
            </w:r>
            <w:r w:rsidR="00B16CB3" w:rsidRPr="00E14DE7">
              <w:rPr>
                <w:rFonts w:cs="Times New Roman"/>
                <w:color w:val="000000" w:themeColor="text1"/>
                <w:sz w:val="22"/>
              </w:rPr>
              <w:t>guidance</w:t>
            </w:r>
            <w:r w:rsidRPr="00E14DE7">
              <w:rPr>
                <w:rFonts w:cs="Times New Roman"/>
                <w:color w:val="000000" w:themeColor="text1"/>
                <w:sz w:val="22"/>
              </w:rPr>
              <w:t xml:space="preserve"> necessary to the shareholders to join the Online Meeting and carry out the electronic voting.</w:t>
            </w:r>
          </w:p>
        </w:tc>
        <w:tc>
          <w:tcPr>
            <w:tcW w:w="2011" w:type="pct"/>
          </w:tcPr>
          <w:p w14:paraId="4E731201" w14:textId="4EAFFFB5" w:rsidR="00296C0F" w:rsidRPr="00E14DE7" w:rsidRDefault="00296C0F" w:rsidP="00C301A3">
            <w:pPr>
              <w:spacing w:before="60" w:after="60"/>
              <w:jc w:val="both"/>
              <w:rPr>
                <w:rFonts w:eastAsia="OptimaVO" w:cs="Times New Roman"/>
                <w:color w:val="000000" w:themeColor="text1"/>
                <w:sz w:val="22"/>
              </w:rPr>
            </w:pPr>
            <w:r w:rsidRPr="00E14DE7">
              <w:rPr>
                <w:rFonts w:cs="Times New Roman"/>
                <w:color w:val="000000" w:themeColor="text1"/>
                <w:sz w:val="22"/>
              </w:rPr>
              <w:lastRenderedPageBreak/>
              <w:t>Article 6</w:t>
            </w:r>
          </w:p>
          <w:p w14:paraId="7B25646D" w14:textId="093DD904" w:rsidR="00202C5D" w:rsidRPr="00E14DE7" w:rsidRDefault="00D15745" w:rsidP="00C301A3">
            <w:pPr>
              <w:spacing w:before="60" w:after="60"/>
              <w:jc w:val="both"/>
              <w:rPr>
                <w:rFonts w:eastAsia="OptimaVO" w:cs="Times New Roman"/>
                <w:color w:val="000000" w:themeColor="text1"/>
                <w:sz w:val="22"/>
                <w:u w:val="single"/>
              </w:rPr>
            </w:pPr>
            <w:r w:rsidRPr="00E14DE7">
              <w:rPr>
                <w:rFonts w:cs="Times New Roman"/>
                <w:color w:val="000000" w:themeColor="text1"/>
                <w:sz w:val="22"/>
                <w:u w:val="single"/>
              </w:rPr>
              <w:t xml:space="preserve">4. Convening and procedures of organizing the Extraordinary General Meetings of Shareholders are complied with the relevant provisions of the laws, Petrolimex Charter and this Regulation. </w:t>
            </w:r>
          </w:p>
        </w:tc>
        <w:tc>
          <w:tcPr>
            <w:tcW w:w="1033" w:type="pct"/>
          </w:tcPr>
          <w:p w14:paraId="48F8C504" w14:textId="1144D620" w:rsidR="00202C5D" w:rsidRPr="00E14DE7" w:rsidRDefault="00202C5D" w:rsidP="00C301A3">
            <w:pPr>
              <w:spacing w:before="60" w:after="60"/>
              <w:jc w:val="both"/>
              <w:rPr>
                <w:rFonts w:eastAsia="OptimaVO" w:cs="Times New Roman"/>
                <w:color w:val="000000" w:themeColor="text1"/>
                <w:sz w:val="22"/>
              </w:rPr>
            </w:pPr>
            <w:r w:rsidRPr="00E14DE7">
              <w:rPr>
                <w:rFonts w:cs="Times New Roman"/>
                <w:color w:val="000000" w:themeColor="text1"/>
                <w:sz w:val="22"/>
              </w:rPr>
              <w:t xml:space="preserve">Article 5 of Regulation 218 specifies major issues regarding the General Meeting of Shareholders, corresponding to Article 14, Clause 5 of the 2026 Draft Charter. Contents on online GMS organization are moved to Article 11, Clause </w:t>
            </w:r>
            <w:r w:rsidRPr="00E14DE7">
              <w:rPr>
                <w:rFonts w:cs="Times New Roman"/>
                <w:color w:val="000000" w:themeColor="text1"/>
                <w:sz w:val="22"/>
              </w:rPr>
              <w:lastRenderedPageBreak/>
              <w:t xml:space="preserve">9 of the Draft Regulation. </w:t>
            </w:r>
          </w:p>
          <w:p w14:paraId="19C04DB1" w14:textId="62F1D108" w:rsidR="00202C5D" w:rsidRPr="00E14DE7" w:rsidRDefault="00202C5D" w:rsidP="00C301A3">
            <w:pPr>
              <w:spacing w:before="60" w:after="60"/>
              <w:jc w:val="both"/>
              <w:rPr>
                <w:rFonts w:eastAsia="OptimaVO" w:cs="Times New Roman"/>
                <w:color w:val="000000" w:themeColor="text1"/>
                <w:sz w:val="22"/>
                <w:highlight w:val="yellow"/>
              </w:rPr>
            </w:pPr>
          </w:p>
          <w:p w14:paraId="4B477CF6" w14:textId="797547D0" w:rsidR="00202C5D" w:rsidRPr="00E14DE7" w:rsidRDefault="00202C5D" w:rsidP="00C944E6">
            <w:pPr>
              <w:spacing w:before="60" w:after="60"/>
              <w:jc w:val="both"/>
              <w:rPr>
                <w:rFonts w:eastAsia="OptimaVO" w:cs="Times New Roman"/>
                <w:color w:val="000000" w:themeColor="text1"/>
                <w:sz w:val="22"/>
              </w:rPr>
            </w:pPr>
          </w:p>
        </w:tc>
      </w:tr>
      <w:tr w:rsidR="00C301A3" w:rsidRPr="00E14DE7" w14:paraId="6523234A" w14:textId="77777777" w:rsidTr="00EB2EA0">
        <w:trPr>
          <w:trHeight w:val="20"/>
        </w:trPr>
        <w:tc>
          <w:tcPr>
            <w:tcW w:w="215" w:type="pct"/>
          </w:tcPr>
          <w:p w14:paraId="5837DE8A" w14:textId="77777777" w:rsidR="00202C5D" w:rsidRPr="00E14DE7" w:rsidRDefault="00202C5D" w:rsidP="00EB2EA0">
            <w:pPr>
              <w:pStyle w:val="ListParagraph"/>
              <w:widowControl w:val="0"/>
              <w:numPr>
                <w:ilvl w:val="0"/>
                <w:numId w:val="37"/>
              </w:numPr>
              <w:adjustRightInd w:val="0"/>
              <w:snapToGrid w:val="0"/>
              <w:spacing w:before="60" w:after="60"/>
              <w:jc w:val="center"/>
              <w:rPr>
                <w:rFonts w:cs="Times New Roman"/>
                <w:sz w:val="22"/>
              </w:rPr>
            </w:pPr>
          </w:p>
        </w:tc>
        <w:tc>
          <w:tcPr>
            <w:tcW w:w="574" w:type="pct"/>
          </w:tcPr>
          <w:p w14:paraId="72613B9B" w14:textId="07BA429A" w:rsidR="00202C5D" w:rsidRPr="00E14DE7" w:rsidRDefault="00202C5D" w:rsidP="00C301A3">
            <w:pPr>
              <w:rPr>
                <w:rFonts w:eastAsia="OptimaVO" w:cs="Times New Roman"/>
                <w:sz w:val="22"/>
              </w:rPr>
            </w:pPr>
            <w:r w:rsidRPr="00E14DE7">
              <w:rPr>
                <w:rFonts w:cs="Times New Roman"/>
                <w:sz w:val="22"/>
              </w:rPr>
              <w:t>Article 6, Clause 1, point d</w:t>
            </w:r>
          </w:p>
        </w:tc>
        <w:tc>
          <w:tcPr>
            <w:tcW w:w="1167" w:type="pct"/>
          </w:tcPr>
          <w:p w14:paraId="1738A398" w14:textId="4D95EE95" w:rsidR="00202C5D" w:rsidRPr="00E14DE7" w:rsidRDefault="00CA3C34" w:rsidP="00C301A3">
            <w:pPr>
              <w:spacing w:before="60" w:after="60"/>
              <w:jc w:val="both"/>
              <w:rPr>
                <w:rFonts w:eastAsia="OptimaVO" w:cs="Times New Roman"/>
                <w:color w:val="000000" w:themeColor="text1"/>
                <w:sz w:val="22"/>
              </w:rPr>
            </w:pPr>
            <w:r w:rsidRPr="00E14DE7">
              <w:rPr>
                <w:rFonts w:cs="Times New Roman"/>
                <w:color w:val="000000"/>
                <w:sz w:val="22"/>
              </w:rPr>
              <w:t>d) Decisions on the investment or sale of assets valued at 35% or more of the total value of Petrolimex's assets recorded in Petrolimex’s latest financial statements</w:t>
            </w:r>
          </w:p>
        </w:tc>
        <w:tc>
          <w:tcPr>
            <w:tcW w:w="2011" w:type="pct"/>
          </w:tcPr>
          <w:p w14:paraId="6486A418" w14:textId="56D1F54C" w:rsidR="00CA3C34" w:rsidRPr="00E14DE7" w:rsidRDefault="00CA3C34" w:rsidP="00EB2EA0">
            <w:pPr>
              <w:widowControl w:val="0"/>
              <w:adjustRightInd w:val="0"/>
              <w:snapToGrid w:val="0"/>
              <w:spacing w:before="60" w:after="60"/>
              <w:jc w:val="both"/>
              <w:rPr>
                <w:rFonts w:cs="Times New Roman"/>
                <w:bCs/>
                <w:color w:val="000000"/>
                <w:sz w:val="22"/>
              </w:rPr>
            </w:pPr>
            <w:r w:rsidRPr="00E14DE7">
              <w:rPr>
                <w:rFonts w:cs="Times New Roman"/>
                <w:color w:val="000000"/>
                <w:sz w:val="22"/>
              </w:rPr>
              <w:t>Article 7, Clause 1</w:t>
            </w:r>
          </w:p>
          <w:p w14:paraId="72E8C27A" w14:textId="65205111" w:rsidR="00202C5D" w:rsidRPr="00E14DE7" w:rsidRDefault="00CA3C34" w:rsidP="00EB2EA0">
            <w:pPr>
              <w:widowControl w:val="0"/>
              <w:adjustRightInd w:val="0"/>
              <w:snapToGrid w:val="0"/>
              <w:spacing w:before="60" w:after="60"/>
              <w:jc w:val="both"/>
              <w:rPr>
                <w:rFonts w:eastAsia="OptimaVO" w:cs="Times New Roman"/>
                <w:color w:val="000000"/>
                <w:sz w:val="22"/>
              </w:rPr>
            </w:pPr>
            <w:r w:rsidRPr="00E14DE7">
              <w:rPr>
                <w:rFonts w:cs="Times New Roman"/>
                <w:color w:val="000000"/>
                <w:sz w:val="22"/>
              </w:rPr>
              <w:t xml:space="preserve">d) Approval of investment in individual projects and investment items; acquisition, finance lease, and disposal of fixed assets; transfer of investment projects and capital investments beyond the authority of the Board of Management as prescribed in Points e, g and h, Clause 2 of Article 19 herein. </w:t>
            </w:r>
          </w:p>
        </w:tc>
        <w:tc>
          <w:tcPr>
            <w:tcW w:w="1033" w:type="pct"/>
          </w:tcPr>
          <w:p w14:paraId="6679AE5D" w14:textId="0872E293" w:rsidR="00202C5D" w:rsidRPr="00E14DE7" w:rsidRDefault="00202C5D" w:rsidP="00C301A3">
            <w:pPr>
              <w:spacing w:before="60" w:after="60"/>
              <w:jc w:val="both"/>
              <w:rPr>
                <w:rFonts w:eastAsia="OptimaVO" w:cs="Times New Roman"/>
                <w:color w:val="000000" w:themeColor="text1"/>
                <w:sz w:val="22"/>
              </w:rPr>
            </w:pPr>
            <w:r w:rsidRPr="00E14DE7">
              <w:rPr>
                <w:rFonts w:cs="Times New Roman"/>
                <w:color w:val="000000" w:themeColor="text1"/>
                <w:sz w:val="22"/>
              </w:rPr>
              <w:t xml:space="preserve">Amended contents are made </w:t>
            </w:r>
            <w:r w:rsidR="007F1352" w:rsidRPr="00E14DE7">
              <w:rPr>
                <w:rFonts w:cs="Times New Roman"/>
                <w:color w:val="000000" w:themeColor="text1"/>
                <w:sz w:val="22"/>
              </w:rPr>
              <w:t>to ensure compliance with Article</w:t>
            </w:r>
            <w:r w:rsidRPr="00E14DE7">
              <w:rPr>
                <w:rFonts w:cs="Times New Roman"/>
                <w:color w:val="000000" w:themeColor="text1"/>
                <w:sz w:val="22"/>
              </w:rPr>
              <w:t xml:space="preserve"> 15, Clause 1, point d of the 2026 Draft Charter.</w:t>
            </w:r>
          </w:p>
        </w:tc>
      </w:tr>
      <w:tr w:rsidR="00C301A3" w:rsidRPr="00E14DE7" w14:paraId="1D5A9853" w14:textId="77777777" w:rsidTr="00EB2EA0">
        <w:trPr>
          <w:trHeight w:val="20"/>
        </w:trPr>
        <w:tc>
          <w:tcPr>
            <w:tcW w:w="215" w:type="pct"/>
          </w:tcPr>
          <w:p w14:paraId="6EB0DB3D" w14:textId="77777777" w:rsidR="00202C5D" w:rsidRPr="00E14DE7" w:rsidRDefault="00202C5D" w:rsidP="00EB2EA0">
            <w:pPr>
              <w:pStyle w:val="ListParagraph"/>
              <w:widowControl w:val="0"/>
              <w:numPr>
                <w:ilvl w:val="0"/>
                <w:numId w:val="37"/>
              </w:numPr>
              <w:adjustRightInd w:val="0"/>
              <w:snapToGrid w:val="0"/>
              <w:spacing w:before="60" w:after="60"/>
              <w:jc w:val="center"/>
              <w:rPr>
                <w:rFonts w:cs="Times New Roman"/>
                <w:sz w:val="22"/>
              </w:rPr>
            </w:pPr>
          </w:p>
        </w:tc>
        <w:tc>
          <w:tcPr>
            <w:tcW w:w="574" w:type="pct"/>
          </w:tcPr>
          <w:p w14:paraId="7EF7F44D" w14:textId="57901AE9" w:rsidR="00202C5D" w:rsidRPr="00E14DE7" w:rsidRDefault="00202C5D" w:rsidP="00C301A3">
            <w:pPr>
              <w:widowControl w:val="0"/>
              <w:spacing w:before="60" w:after="60"/>
              <w:jc w:val="both"/>
              <w:rPr>
                <w:rFonts w:eastAsia="OptimaVO" w:cs="Times New Roman"/>
                <w:color w:val="000000" w:themeColor="text1"/>
                <w:sz w:val="22"/>
              </w:rPr>
            </w:pPr>
            <w:r w:rsidRPr="00E14DE7">
              <w:rPr>
                <w:rFonts w:cs="Times New Roman"/>
                <w:color w:val="000000" w:themeColor="text1"/>
                <w:sz w:val="22"/>
              </w:rPr>
              <w:t>Article 6, Clause 1, point n</w:t>
            </w:r>
          </w:p>
        </w:tc>
        <w:tc>
          <w:tcPr>
            <w:tcW w:w="1167" w:type="pct"/>
          </w:tcPr>
          <w:p w14:paraId="1B36520D" w14:textId="23D2D485" w:rsidR="00202C5D" w:rsidRPr="00E14DE7" w:rsidRDefault="00202C5D" w:rsidP="00C301A3">
            <w:pPr>
              <w:widowControl w:val="0"/>
              <w:spacing w:before="60" w:after="60"/>
              <w:jc w:val="both"/>
              <w:rPr>
                <w:rFonts w:eastAsia="OptimaVO" w:cs="Times New Roman"/>
                <w:color w:val="000000" w:themeColor="text1"/>
                <w:sz w:val="22"/>
              </w:rPr>
            </w:pPr>
            <w:r w:rsidRPr="00E14DE7">
              <w:rPr>
                <w:rFonts w:cs="Times New Roman"/>
                <w:color w:val="000000" w:themeColor="text1"/>
                <w:sz w:val="22"/>
              </w:rPr>
              <w:t>n) Other rights and obligations as prescribed by the laws.</w:t>
            </w:r>
          </w:p>
        </w:tc>
        <w:tc>
          <w:tcPr>
            <w:tcW w:w="2011" w:type="pct"/>
          </w:tcPr>
          <w:p w14:paraId="737E8DB8" w14:textId="52B282F4" w:rsidR="00902C3A" w:rsidRPr="00E14DE7" w:rsidRDefault="00902C3A" w:rsidP="00C301A3">
            <w:pPr>
              <w:widowControl w:val="0"/>
              <w:spacing w:before="60" w:after="60"/>
              <w:jc w:val="both"/>
              <w:rPr>
                <w:rFonts w:eastAsia="OptimaVO" w:cs="Times New Roman"/>
                <w:color w:val="000000" w:themeColor="text1"/>
                <w:sz w:val="22"/>
              </w:rPr>
            </w:pPr>
            <w:r w:rsidRPr="00E14DE7">
              <w:rPr>
                <w:rFonts w:cs="Times New Roman"/>
                <w:color w:val="000000" w:themeColor="text1"/>
                <w:sz w:val="22"/>
              </w:rPr>
              <w:t>Article 7, Clause 1</w:t>
            </w:r>
          </w:p>
          <w:p w14:paraId="0931D8CF" w14:textId="78F1E8D8" w:rsidR="00202C5D" w:rsidRPr="00E14DE7" w:rsidRDefault="00202C5D" w:rsidP="00C301A3">
            <w:pPr>
              <w:widowControl w:val="0"/>
              <w:spacing w:before="60" w:after="60"/>
              <w:jc w:val="both"/>
              <w:rPr>
                <w:rFonts w:eastAsia="OptimaVO" w:cs="Times New Roman"/>
                <w:color w:val="000000" w:themeColor="text1"/>
                <w:sz w:val="22"/>
              </w:rPr>
            </w:pPr>
            <w:r w:rsidRPr="00E14DE7">
              <w:rPr>
                <w:rFonts w:cs="Times New Roman"/>
                <w:color w:val="000000" w:themeColor="text1"/>
                <w:sz w:val="22"/>
              </w:rPr>
              <w:t xml:space="preserve">n. Other rights and obligations as prescribed by the laws </w:t>
            </w:r>
            <w:r w:rsidRPr="00E14DE7">
              <w:rPr>
                <w:rFonts w:cs="Times New Roman"/>
                <w:color w:val="000000" w:themeColor="text1"/>
                <w:sz w:val="22"/>
                <w:u w:val="single"/>
              </w:rPr>
              <w:t>and the Petrolimex Charter.</w:t>
            </w:r>
          </w:p>
        </w:tc>
        <w:tc>
          <w:tcPr>
            <w:tcW w:w="1033" w:type="pct"/>
          </w:tcPr>
          <w:p w14:paraId="0DBE200A" w14:textId="2E75B8EC" w:rsidR="00202C5D" w:rsidRPr="00E14DE7" w:rsidRDefault="00202C5D" w:rsidP="00C301A3">
            <w:pPr>
              <w:widowControl w:val="0"/>
              <w:spacing w:before="60" w:after="60"/>
              <w:jc w:val="both"/>
              <w:rPr>
                <w:rFonts w:eastAsia="OptimaVO" w:cs="Times New Roman"/>
                <w:color w:val="000000" w:themeColor="text1"/>
                <w:sz w:val="22"/>
              </w:rPr>
            </w:pPr>
            <w:r w:rsidRPr="00E14DE7">
              <w:rPr>
                <w:rFonts w:cs="Times New Roman"/>
                <w:color w:val="000000" w:themeColor="text1"/>
                <w:sz w:val="22"/>
              </w:rPr>
              <w:t xml:space="preserve">Amended contents are made </w:t>
            </w:r>
            <w:r w:rsidR="007F1352" w:rsidRPr="00E14DE7">
              <w:rPr>
                <w:rFonts w:cs="Times New Roman"/>
                <w:color w:val="000000" w:themeColor="text1"/>
                <w:sz w:val="22"/>
              </w:rPr>
              <w:t>to ensure compliance with Article</w:t>
            </w:r>
            <w:r w:rsidRPr="00E14DE7">
              <w:rPr>
                <w:rFonts w:cs="Times New Roman"/>
                <w:color w:val="000000" w:themeColor="text1"/>
                <w:sz w:val="22"/>
              </w:rPr>
              <w:t xml:space="preserve"> 15, Clause 1, point n of the 2026 Draft Charter. </w:t>
            </w:r>
          </w:p>
        </w:tc>
      </w:tr>
      <w:tr w:rsidR="00C301A3" w:rsidRPr="00E14DE7" w14:paraId="74C5E7C5" w14:textId="77777777" w:rsidTr="00EB2EA0">
        <w:trPr>
          <w:trHeight w:val="20"/>
        </w:trPr>
        <w:tc>
          <w:tcPr>
            <w:tcW w:w="215" w:type="pct"/>
          </w:tcPr>
          <w:p w14:paraId="37925D5A" w14:textId="77777777" w:rsidR="00202C5D" w:rsidRPr="00E14DE7" w:rsidRDefault="00202C5D" w:rsidP="00EB2EA0">
            <w:pPr>
              <w:pStyle w:val="ListParagraph"/>
              <w:widowControl w:val="0"/>
              <w:numPr>
                <w:ilvl w:val="0"/>
                <w:numId w:val="37"/>
              </w:numPr>
              <w:adjustRightInd w:val="0"/>
              <w:snapToGrid w:val="0"/>
              <w:spacing w:before="60" w:after="60"/>
              <w:jc w:val="center"/>
              <w:rPr>
                <w:rFonts w:cs="Times New Roman"/>
                <w:sz w:val="22"/>
              </w:rPr>
            </w:pPr>
          </w:p>
        </w:tc>
        <w:tc>
          <w:tcPr>
            <w:tcW w:w="574" w:type="pct"/>
          </w:tcPr>
          <w:p w14:paraId="10F50150" w14:textId="1F4874D5" w:rsidR="00202C5D" w:rsidRPr="00E14DE7" w:rsidRDefault="00202C5D" w:rsidP="00C301A3">
            <w:pPr>
              <w:widowControl w:val="0"/>
              <w:adjustRightInd w:val="0"/>
              <w:snapToGrid w:val="0"/>
              <w:spacing w:before="60" w:after="60"/>
              <w:jc w:val="both"/>
              <w:rPr>
                <w:rFonts w:eastAsia="OptimaVO" w:cs="Times New Roman"/>
                <w:color w:val="000000" w:themeColor="text1"/>
                <w:sz w:val="22"/>
              </w:rPr>
            </w:pPr>
            <w:r w:rsidRPr="00E14DE7">
              <w:rPr>
                <w:rFonts w:cs="Times New Roman"/>
                <w:color w:val="000000" w:themeColor="text1"/>
                <w:sz w:val="22"/>
              </w:rPr>
              <w:t xml:space="preserve">Article 6, </w:t>
            </w:r>
            <w:r w:rsidRPr="00E14DE7">
              <w:rPr>
                <w:rFonts w:cs="Times New Roman"/>
                <w:color w:val="000000" w:themeColor="text1"/>
                <w:sz w:val="22"/>
              </w:rPr>
              <w:lastRenderedPageBreak/>
              <w:t>Clause 2, point o</w:t>
            </w:r>
          </w:p>
          <w:p w14:paraId="05141E31" w14:textId="78E8D7C7" w:rsidR="00202C5D" w:rsidRPr="00E14DE7" w:rsidRDefault="00202C5D" w:rsidP="00C301A3">
            <w:pPr>
              <w:widowControl w:val="0"/>
              <w:adjustRightInd w:val="0"/>
              <w:snapToGrid w:val="0"/>
              <w:spacing w:before="60" w:after="60"/>
              <w:rPr>
                <w:rFonts w:cs="Times New Roman"/>
                <w:sz w:val="22"/>
              </w:rPr>
            </w:pPr>
          </w:p>
        </w:tc>
        <w:tc>
          <w:tcPr>
            <w:tcW w:w="1167" w:type="pct"/>
          </w:tcPr>
          <w:p w14:paraId="6FD6DEC4" w14:textId="2BBC8798" w:rsidR="00202C5D" w:rsidRPr="00E14DE7" w:rsidRDefault="00202C5D" w:rsidP="00C301A3">
            <w:pPr>
              <w:widowControl w:val="0"/>
              <w:adjustRightInd w:val="0"/>
              <w:snapToGrid w:val="0"/>
              <w:spacing w:before="60" w:after="60"/>
              <w:jc w:val="both"/>
              <w:rPr>
                <w:rFonts w:cs="Times New Roman"/>
                <w:sz w:val="22"/>
              </w:rPr>
            </w:pPr>
            <w:r w:rsidRPr="00E14DE7">
              <w:rPr>
                <w:rFonts w:cs="Times New Roman"/>
                <w:color w:val="000000" w:themeColor="text1"/>
                <w:sz w:val="22"/>
              </w:rPr>
              <w:lastRenderedPageBreak/>
              <w:t xml:space="preserve">o) Petrolimex’s re-organization </w:t>
            </w:r>
            <w:r w:rsidRPr="00E14DE7">
              <w:rPr>
                <w:rFonts w:cs="Times New Roman"/>
                <w:color w:val="000000" w:themeColor="text1"/>
                <w:sz w:val="22"/>
              </w:rPr>
              <w:lastRenderedPageBreak/>
              <w:t>and dissolution (liquidation) and appointment of liquidator;</w:t>
            </w:r>
          </w:p>
        </w:tc>
        <w:tc>
          <w:tcPr>
            <w:tcW w:w="2011" w:type="pct"/>
          </w:tcPr>
          <w:p w14:paraId="2E57DE48" w14:textId="7023A68E" w:rsidR="00C8559E" w:rsidRPr="00E14DE7" w:rsidRDefault="00C8559E" w:rsidP="00C301A3">
            <w:pPr>
              <w:spacing w:before="60" w:after="60"/>
              <w:jc w:val="both"/>
              <w:rPr>
                <w:rFonts w:eastAsia="OptimaVO" w:cs="Times New Roman"/>
                <w:color w:val="000000" w:themeColor="text1"/>
                <w:sz w:val="22"/>
              </w:rPr>
            </w:pPr>
            <w:r w:rsidRPr="00E14DE7">
              <w:rPr>
                <w:rFonts w:cs="Times New Roman"/>
                <w:color w:val="000000" w:themeColor="text1"/>
                <w:sz w:val="22"/>
              </w:rPr>
              <w:lastRenderedPageBreak/>
              <w:t>Article 7, Clause 2</w:t>
            </w:r>
          </w:p>
          <w:p w14:paraId="1E6D1D65" w14:textId="68BCCED6" w:rsidR="00202C5D" w:rsidRPr="00E14DE7" w:rsidRDefault="00202C5D" w:rsidP="00C301A3">
            <w:pPr>
              <w:spacing w:before="60" w:after="60"/>
              <w:jc w:val="both"/>
              <w:rPr>
                <w:rFonts w:eastAsia="OptimaVO" w:cs="Times New Roman"/>
                <w:color w:val="000000" w:themeColor="text1"/>
                <w:sz w:val="22"/>
              </w:rPr>
            </w:pPr>
            <w:r w:rsidRPr="00E14DE7">
              <w:rPr>
                <w:rFonts w:cs="Times New Roman"/>
                <w:color w:val="000000" w:themeColor="text1"/>
                <w:sz w:val="22"/>
              </w:rPr>
              <w:lastRenderedPageBreak/>
              <w:t xml:space="preserve">o) Petrolimex’s </w:t>
            </w:r>
            <w:r w:rsidRPr="00E14DE7">
              <w:rPr>
                <w:rFonts w:cs="Times New Roman"/>
                <w:color w:val="000000" w:themeColor="text1"/>
                <w:sz w:val="22"/>
                <w:u w:val="single"/>
              </w:rPr>
              <w:t>dissolution</w:t>
            </w:r>
            <w:r w:rsidRPr="00E14DE7">
              <w:rPr>
                <w:rFonts w:cs="Times New Roman"/>
                <w:color w:val="000000" w:themeColor="text1"/>
                <w:sz w:val="22"/>
              </w:rPr>
              <w:t xml:space="preserve"> (liquidation) and appointment of liquidator;</w:t>
            </w:r>
          </w:p>
        </w:tc>
        <w:tc>
          <w:tcPr>
            <w:tcW w:w="1033" w:type="pct"/>
          </w:tcPr>
          <w:p w14:paraId="7A6C02D7" w14:textId="4C7E49F3" w:rsidR="00202C5D" w:rsidRPr="00E14DE7" w:rsidRDefault="00202C5D" w:rsidP="00C301A3">
            <w:pPr>
              <w:spacing w:before="60" w:after="60"/>
              <w:jc w:val="both"/>
              <w:rPr>
                <w:rFonts w:cs="Times New Roman"/>
                <w:color w:val="000000" w:themeColor="text1"/>
                <w:sz w:val="22"/>
              </w:rPr>
            </w:pPr>
            <w:r w:rsidRPr="00E14DE7">
              <w:rPr>
                <w:rFonts w:cs="Times New Roman"/>
                <w:color w:val="000000" w:themeColor="text1"/>
                <w:sz w:val="22"/>
              </w:rPr>
              <w:lastRenderedPageBreak/>
              <w:t xml:space="preserve">Amended contents are made </w:t>
            </w:r>
            <w:r w:rsidR="007F1352" w:rsidRPr="00E14DE7">
              <w:rPr>
                <w:rFonts w:cs="Times New Roman"/>
                <w:color w:val="000000" w:themeColor="text1"/>
                <w:sz w:val="22"/>
              </w:rPr>
              <w:lastRenderedPageBreak/>
              <w:t>to ensure compliance with Article</w:t>
            </w:r>
            <w:r w:rsidRPr="00E14DE7">
              <w:rPr>
                <w:rFonts w:cs="Times New Roman"/>
                <w:color w:val="000000" w:themeColor="text1"/>
                <w:sz w:val="22"/>
              </w:rPr>
              <w:t xml:space="preserve"> 15, Clause 2, point o of the 2026 Draft Charter.</w:t>
            </w:r>
          </w:p>
        </w:tc>
      </w:tr>
      <w:tr w:rsidR="00C301A3" w:rsidRPr="00E14DE7" w14:paraId="0532C5AC" w14:textId="77777777" w:rsidTr="00EB2EA0">
        <w:trPr>
          <w:trHeight w:val="465"/>
        </w:trPr>
        <w:tc>
          <w:tcPr>
            <w:tcW w:w="215" w:type="pct"/>
          </w:tcPr>
          <w:p w14:paraId="41870DCB" w14:textId="77777777" w:rsidR="00202C5D" w:rsidRPr="00E14DE7" w:rsidRDefault="00202C5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7528EF12" w14:textId="4D930A6E" w:rsidR="00202C5D" w:rsidRPr="00E14DE7" w:rsidRDefault="00202C5D" w:rsidP="00C301A3">
            <w:pPr>
              <w:widowControl w:val="0"/>
              <w:spacing w:before="60" w:after="60"/>
              <w:jc w:val="both"/>
              <w:rPr>
                <w:rFonts w:eastAsia="OptimaVO" w:cs="Times New Roman"/>
                <w:color w:val="000000" w:themeColor="text1"/>
                <w:sz w:val="22"/>
              </w:rPr>
            </w:pPr>
            <w:r w:rsidRPr="00E14DE7">
              <w:rPr>
                <w:rFonts w:cs="Times New Roman"/>
                <w:sz w:val="22"/>
              </w:rPr>
              <w:t>Article 8, Clause 4, point d</w:t>
            </w:r>
          </w:p>
        </w:tc>
        <w:tc>
          <w:tcPr>
            <w:tcW w:w="1167" w:type="pct"/>
          </w:tcPr>
          <w:p w14:paraId="1D0405E4" w14:textId="77777777" w:rsidR="00202C5D" w:rsidRPr="00E14DE7" w:rsidRDefault="00202C5D" w:rsidP="00C301A3">
            <w:pPr>
              <w:spacing w:before="60" w:after="60"/>
              <w:jc w:val="both"/>
              <w:rPr>
                <w:rFonts w:cs="Times New Roman"/>
                <w:noProof/>
                <w:sz w:val="22"/>
              </w:rPr>
            </w:pPr>
            <w:r w:rsidRPr="00E14DE7">
              <w:rPr>
                <w:rFonts w:cs="Times New Roman"/>
                <w:sz w:val="22"/>
              </w:rPr>
              <w:t>4. The shareholder is considered to participate and vote in the General Meeting of Shareholders in following circumstances:</w:t>
            </w:r>
          </w:p>
          <w:p w14:paraId="3E688CEF" w14:textId="3E62ACD5" w:rsidR="00202C5D" w:rsidRPr="00E14DE7" w:rsidRDefault="00202C5D" w:rsidP="00C301A3">
            <w:pPr>
              <w:spacing w:before="60" w:after="60"/>
              <w:jc w:val="both"/>
              <w:rPr>
                <w:rFonts w:eastAsia="OptimaVO" w:cs="Times New Roman"/>
                <w:color w:val="000000" w:themeColor="text1"/>
                <w:sz w:val="22"/>
              </w:rPr>
            </w:pPr>
            <w:r w:rsidRPr="00E14DE7">
              <w:rPr>
                <w:rFonts w:cs="Times New Roman"/>
                <w:sz w:val="22"/>
              </w:rPr>
              <w:t>d) Deliver the votes to meeting through registered mail, fax or email;</w:t>
            </w:r>
          </w:p>
        </w:tc>
        <w:tc>
          <w:tcPr>
            <w:tcW w:w="2011" w:type="pct"/>
          </w:tcPr>
          <w:p w14:paraId="6463FB8D" w14:textId="47FC9872" w:rsidR="006512C7" w:rsidRPr="00E14DE7" w:rsidRDefault="006512C7" w:rsidP="00C301A3">
            <w:pPr>
              <w:spacing w:before="60" w:after="60"/>
              <w:jc w:val="both"/>
              <w:rPr>
                <w:rFonts w:cs="Times New Roman"/>
                <w:noProof/>
                <w:sz w:val="22"/>
              </w:rPr>
            </w:pPr>
            <w:r w:rsidRPr="00E14DE7">
              <w:rPr>
                <w:rFonts w:cs="Times New Roman"/>
                <w:sz w:val="22"/>
              </w:rPr>
              <w:t>Article 9</w:t>
            </w:r>
          </w:p>
          <w:p w14:paraId="6A8D3946" w14:textId="16916F35" w:rsidR="00202C5D" w:rsidRPr="00E14DE7" w:rsidRDefault="00202C5D" w:rsidP="00C301A3">
            <w:pPr>
              <w:spacing w:before="60" w:after="60"/>
              <w:jc w:val="both"/>
              <w:rPr>
                <w:rFonts w:cs="Times New Roman"/>
                <w:noProof/>
                <w:sz w:val="22"/>
              </w:rPr>
            </w:pPr>
            <w:r w:rsidRPr="00E14DE7">
              <w:rPr>
                <w:rFonts w:cs="Times New Roman"/>
                <w:sz w:val="22"/>
              </w:rPr>
              <w:t>4. The shareholder is considered to participate and vote in the General Meeting of Shareholders in following circumstances:</w:t>
            </w:r>
          </w:p>
          <w:p w14:paraId="4BF38F5B" w14:textId="46DB20B9" w:rsidR="00202C5D" w:rsidRPr="00E14DE7" w:rsidRDefault="00202C5D" w:rsidP="00C301A3">
            <w:pPr>
              <w:spacing w:before="60" w:after="60"/>
              <w:jc w:val="both"/>
              <w:rPr>
                <w:rFonts w:eastAsia="OptimaVO" w:cs="Times New Roman"/>
                <w:bCs/>
                <w:color w:val="000000" w:themeColor="text1"/>
                <w:sz w:val="22"/>
              </w:rPr>
            </w:pPr>
            <w:r w:rsidRPr="00E14DE7">
              <w:rPr>
                <w:rFonts w:cs="Times New Roman"/>
                <w:sz w:val="22"/>
              </w:rPr>
              <w:t xml:space="preserve">d) Deliver the votes to meeting through registered mail, fax </w:t>
            </w:r>
            <w:r w:rsidRPr="00E14DE7">
              <w:rPr>
                <w:rFonts w:cs="Times New Roman"/>
                <w:sz w:val="22"/>
                <w:u w:val="single"/>
              </w:rPr>
              <w:t>or email or other proper data message in accordance with the procedures for convening and voting at the General Meeting of Shareholders as defined in the Charter;</w:t>
            </w:r>
          </w:p>
        </w:tc>
        <w:tc>
          <w:tcPr>
            <w:tcW w:w="1033" w:type="pct"/>
          </w:tcPr>
          <w:p w14:paraId="59CF6A6D" w14:textId="0CFBE282" w:rsidR="00202C5D" w:rsidRPr="00E14DE7" w:rsidRDefault="00202C5D" w:rsidP="00C301A3">
            <w:pPr>
              <w:spacing w:before="60" w:after="60"/>
              <w:jc w:val="both"/>
              <w:rPr>
                <w:rFonts w:eastAsia="OptimaVO" w:cs="Times New Roman"/>
                <w:color w:val="000000" w:themeColor="text1"/>
                <w:sz w:val="22"/>
              </w:rPr>
            </w:pPr>
            <w:r w:rsidRPr="00E14DE7">
              <w:rPr>
                <w:rFonts w:cs="Times New Roman"/>
                <w:sz w:val="22"/>
              </w:rPr>
              <w:t xml:space="preserve">Supplement </w:t>
            </w:r>
            <w:r w:rsidR="007F1352" w:rsidRPr="00E14DE7">
              <w:rPr>
                <w:rFonts w:cs="Times New Roman"/>
                <w:sz w:val="22"/>
              </w:rPr>
              <w:t>to ensure compliance with Article</w:t>
            </w:r>
            <w:r w:rsidRPr="00E14DE7">
              <w:rPr>
                <w:rFonts w:cs="Times New Roman"/>
                <w:sz w:val="22"/>
              </w:rPr>
              <w:t xml:space="preserve"> 13, Clause 6, point d of the 2026 Draft Charter.</w:t>
            </w:r>
          </w:p>
        </w:tc>
      </w:tr>
      <w:tr w:rsidR="00C301A3" w:rsidRPr="00E14DE7" w14:paraId="46553FD4" w14:textId="77777777" w:rsidTr="00EB2EA0">
        <w:trPr>
          <w:trHeight w:val="20"/>
        </w:trPr>
        <w:tc>
          <w:tcPr>
            <w:tcW w:w="215" w:type="pct"/>
          </w:tcPr>
          <w:p w14:paraId="489EDA37" w14:textId="77777777" w:rsidR="00202C5D" w:rsidRPr="00E14DE7" w:rsidRDefault="00202C5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11263C8F" w14:textId="7B848B7A" w:rsidR="00202C5D" w:rsidRPr="00E14DE7" w:rsidRDefault="00202C5D" w:rsidP="00C301A3">
            <w:pPr>
              <w:widowControl w:val="0"/>
              <w:adjustRightInd w:val="0"/>
              <w:snapToGrid w:val="0"/>
              <w:spacing w:before="60" w:after="60"/>
              <w:rPr>
                <w:rFonts w:cs="Times New Roman"/>
                <w:sz w:val="22"/>
              </w:rPr>
            </w:pPr>
            <w:r w:rsidRPr="00E14DE7">
              <w:rPr>
                <w:rFonts w:cs="Times New Roman"/>
                <w:sz w:val="22"/>
              </w:rPr>
              <w:t>Article 8, Clause 4, point dd</w:t>
            </w:r>
          </w:p>
        </w:tc>
        <w:tc>
          <w:tcPr>
            <w:tcW w:w="1167" w:type="pct"/>
          </w:tcPr>
          <w:p w14:paraId="02EE05DB" w14:textId="7853ADB0" w:rsidR="00202C5D" w:rsidRPr="00E14DE7" w:rsidRDefault="004D4BE2" w:rsidP="00C301A3">
            <w:pPr>
              <w:widowControl w:val="0"/>
              <w:adjustRightInd w:val="0"/>
              <w:snapToGrid w:val="0"/>
              <w:spacing w:before="60" w:after="60"/>
              <w:jc w:val="both"/>
              <w:rPr>
                <w:rFonts w:cs="Times New Roman"/>
                <w:sz w:val="22"/>
              </w:rPr>
            </w:pPr>
            <w:r w:rsidRPr="00E14DE7">
              <w:rPr>
                <w:rFonts w:cs="Times New Roman"/>
                <w:color w:val="000000" w:themeColor="text1"/>
                <w:sz w:val="22"/>
              </w:rPr>
              <w:t>dd) Send the votes by other means as prescribed in the Petrolimex Charter.</w:t>
            </w:r>
          </w:p>
        </w:tc>
        <w:tc>
          <w:tcPr>
            <w:tcW w:w="2011" w:type="pct"/>
          </w:tcPr>
          <w:p w14:paraId="363871B2" w14:textId="3C346BDC" w:rsidR="00202C5D" w:rsidRPr="00E14DE7" w:rsidRDefault="00202C5D" w:rsidP="00C301A3">
            <w:pPr>
              <w:widowControl w:val="0"/>
              <w:adjustRightInd w:val="0"/>
              <w:snapToGrid w:val="0"/>
              <w:spacing w:before="60" w:after="60"/>
              <w:rPr>
                <w:rFonts w:cs="Times New Roman"/>
                <w:i/>
                <w:iCs/>
                <w:sz w:val="22"/>
              </w:rPr>
            </w:pPr>
            <w:r w:rsidRPr="00E14DE7">
              <w:rPr>
                <w:rFonts w:cs="Times New Roman"/>
                <w:i/>
                <w:color w:val="000000" w:themeColor="text1"/>
                <w:sz w:val="22"/>
              </w:rPr>
              <w:t>Remove Article</w:t>
            </w:r>
            <w:r w:rsidRPr="00E14DE7">
              <w:rPr>
                <w:rFonts w:cs="Times New Roman"/>
                <w:i/>
                <w:sz w:val="22"/>
              </w:rPr>
              <w:t xml:space="preserve"> 8, Clause 4, point dd of the Regulation 218.</w:t>
            </w:r>
          </w:p>
          <w:p w14:paraId="0063561D" w14:textId="79BE54ED" w:rsidR="00202C5D" w:rsidRPr="00E14DE7" w:rsidRDefault="00202C5D" w:rsidP="00C301A3">
            <w:pPr>
              <w:widowControl w:val="0"/>
              <w:spacing w:before="60" w:after="60"/>
              <w:jc w:val="both"/>
              <w:rPr>
                <w:rFonts w:cs="Times New Roman"/>
                <w:color w:val="000000" w:themeColor="text1"/>
                <w:sz w:val="22"/>
              </w:rPr>
            </w:pPr>
          </w:p>
        </w:tc>
        <w:tc>
          <w:tcPr>
            <w:tcW w:w="1033" w:type="pct"/>
          </w:tcPr>
          <w:p w14:paraId="7DEB48D0" w14:textId="00BE44EA" w:rsidR="00202C5D" w:rsidRPr="00E14DE7" w:rsidRDefault="005771B8"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 xml:space="preserve">Amend </w:t>
            </w:r>
            <w:r w:rsidR="007F1352" w:rsidRPr="00E14DE7">
              <w:rPr>
                <w:rFonts w:cs="Times New Roman"/>
                <w:color w:val="000000" w:themeColor="text1"/>
                <w:sz w:val="22"/>
              </w:rPr>
              <w:t>to ensure compliance with Article</w:t>
            </w:r>
            <w:r w:rsidRPr="00E14DE7">
              <w:rPr>
                <w:rFonts w:cs="Times New Roman"/>
                <w:color w:val="000000" w:themeColor="text1"/>
                <w:sz w:val="22"/>
              </w:rPr>
              <w:t xml:space="preserve"> 13, Clause 6 of the 2026 Draft Charter.</w:t>
            </w:r>
          </w:p>
        </w:tc>
      </w:tr>
      <w:tr w:rsidR="00C301A3" w:rsidRPr="00E14DE7" w14:paraId="284B0CE1" w14:textId="77777777" w:rsidTr="00EB2EA0">
        <w:trPr>
          <w:trHeight w:val="20"/>
        </w:trPr>
        <w:tc>
          <w:tcPr>
            <w:tcW w:w="215" w:type="pct"/>
          </w:tcPr>
          <w:p w14:paraId="1253C529" w14:textId="77777777" w:rsidR="00202C5D" w:rsidRPr="00E14DE7" w:rsidRDefault="00202C5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32BF75E2" w14:textId="4DBBABCC" w:rsidR="00202C5D" w:rsidRPr="00E14DE7" w:rsidRDefault="00202C5D" w:rsidP="00C301A3">
            <w:pPr>
              <w:widowControl w:val="0"/>
              <w:adjustRightInd w:val="0"/>
              <w:snapToGrid w:val="0"/>
              <w:spacing w:before="60" w:after="60"/>
              <w:rPr>
                <w:rFonts w:cs="Times New Roman"/>
                <w:sz w:val="22"/>
              </w:rPr>
            </w:pPr>
            <w:r w:rsidRPr="00E14DE7">
              <w:rPr>
                <w:rFonts w:cs="Times New Roman"/>
                <w:color w:val="000000" w:themeColor="text1"/>
                <w:sz w:val="22"/>
              </w:rPr>
              <w:t>Article 10, Clause 9</w:t>
            </w:r>
          </w:p>
        </w:tc>
        <w:tc>
          <w:tcPr>
            <w:tcW w:w="1167" w:type="pct"/>
          </w:tcPr>
          <w:p w14:paraId="761A3D95" w14:textId="4B4ACBFF" w:rsidR="00202C5D" w:rsidRPr="00E14DE7" w:rsidRDefault="00202C5D" w:rsidP="00C301A3">
            <w:pPr>
              <w:widowControl w:val="0"/>
              <w:adjustRightInd w:val="0"/>
              <w:snapToGrid w:val="0"/>
              <w:spacing w:before="60" w:after="60"/>
              <w:jc w:val="both"/>
              <w:rPr>
                <w:rFonts w:eastAsiaTheme="minorEastAsia" w:cs="Times New Roman"/>
                <w:sz w:val="22"/>
              </w:rPr>
            </w:pPr>
            <w:r w:rsidRPr="00E14DE7">
              <w:rPr>
                <w:rFonts w:cs="Times New Roman"/>
                <w:color w:val="000000"/>
                <w:sz w:val="22"/>
              </w:rPr>
              <w:t>9. In the event that the modern technology is applied to organize the General Meeting of Shareholders via online platform, Petrolimex is obligated to ensure that the shareholders may participate and vote with electronic voting form or other forms as specified in Article 144 of the Law on Enterprises and clause 3, Article 273 of the Decree No. 155/N</w:t>
            </w:r>
            <w:r w:rsidR="0004272D" w:rsidRPr="00E14DE7">
              <w:rPr>
                <w:rFonts w:cs="Times New Roman"/>
                <w:color w:val="000000"/>
                <w:sz w:val="22"/>
              </w:rPr>
              <w:t>D</w:t>
            </w:r>
            <w:r w:rsidRPr="00E14DE7">
              <w:rPr>
                <w:rFonts w:cs="Times New Roman"/>
                <w:color w:val="000000"/>
                <w:sz w:val="22"/>
              </w:rPr>
              <w:t>-CP of the Government dated December 31, 2020 on detailing the implementation of a number of Articles of the Law on Securities.</w:t>
            </w:r>
          </w:p>
        </w:tc>
        <w:tc>
          <w:tcPr>
            <w:tcW w:w="2011" w:type="pct"/>
          </w:tcPr>
          <w:p w14:paraId="081635FE" w14:textId="4E06E6F3" w:rsidR="00147818" w:rsidRPr="00E14DE7" w:rsidRDefault="00147818" w:rsidP="00C301A3">
            <w:pPr>
              <w:widowControl w:val="0"/>
              <w:adjustRightInd w:val="0"/>
              <w:snapToGrid w:val="0"/>
              <w:spacing w:before="60" w:after="60"/>
              <w:jc w:val="both"/>
              <w:rPr>
                <w:rFonts w:cs="Times New Roman"/>
                <w:color w:val="000000"/>
                <w:sz w:val="22"/>
              </w:rPr>
            </w:pPr>
            <w:r w:rsidRPr="00E14DE7">
              <w:rPr>
                <w:rFonts w:cs="Times New Roman"/>
                <w:color w:val="000000"/>
                <w:sz w:val="22"/>
              </w:rPr>
              <w:t>Article 11</w:t>
            </w:r>
          </w:p>
          <w:p w14:paraId="14EA6F8A" w14:textId="7CD164D5" w:rsidR="00202C5D" w:rsidRPr="00E14DE7" w:rsidRDefault="00202C5D" w:rsidP="00C301A3">
            <w:pPr>
              <w:widowControl w:val="0"/>
              <w:adjustRightInd w:val="0"/>
              <w:snapToGrid w:val="0"/>
              <w:spacing w:before="60" w:after="60"/>
              <w:jc w:val="both"/>
              <w:rPr>
                <w:rFonts w:cs="Times New Roman"/>
                <w:color w:val="000000"/>
                <w:sz w:val="22"/>
                <w:u w:val="single"/>
              </w:rPr>
            </w:pPr>
            <w:r w:rsidRPr="00E14DE7">
              <w:rPr>
                <w:rFonts w:cs="Times New Roman"/>
                <w:color w:val="000000"/>
                <w:sz w:val="22"/>
                <w:u w:val="single"/>
              </w:rPr>
              <w:t>9. Organization of Online General Meeting of Shareholders</w:t>
            </w:r>
          </w:p>
          <w:p w14:paraId="00C5CB8A" w14:textId="77777777" w:rsidR="00202C5D" w:rsidRPr="00E14DE7" w:rsidRDefault="00202C5D" w:rsidP="00C301A3">
            <w:pPr>
              <w:widowControl w:val="0"/>
              <w:adjustRightInd w:val="0"/>
              <w:snapToGrid w:val="0"/>
              <w:spacing w:before="60" w:after="60"/>
              <w:jc w:val="both"/>
              <w:rPr>
                <w:rFonts w:cs="Times New Roman"/>
                <w:color w:val="000000"/>
                <w:sz w:val="22"/>
                <w:u w:val="single"/>
              </w:rPr>
            </w:pPr>
            <w:r w:rsidRPr="00E14DE7">
              <w:rPr>
                <w:rFonts w:cs="Times New Roman"/>
                <w:color w:val="000000"/>
                <w:sz w:val="22"/>
                <w:u w:val="single"/>
              </w:rPr>
              <w:t>a) In case of online platform, the Organizing Committee established by the Board of Management is obligated to fulfill the procedures and tasks to serve for online meeting organization. Petrolimex is obligated to ensure that the shareholders may participate and vote with electronic voting form or other forms as prescribed by the laws. Petrolimex applies all most cutting-edge IT solutions to facilitate the shareholders to attend the Online General Meeting in the most convenient manner.</w:t>
            </w:r>
          </w:p>
          <w:p w14:paraId="3F1E2EC5" w14:textId="77777777" w:rsidR="00202C5D" w:rsidRPr="00E14DE7" w:rsidRDefault="00202C5D" w:rsidP="00C301A3">
            <w:pPr>
              <w:widowControl w:val="0"/>
              <w:adjustRightInd w:val="0"/>
              <w:snapToGrid w:val="0"/>
              <w:spacing w:before="60" w:after="60"/>
              <w:jc w:val="both"/>
              <w:rPr>
                <w:rFonts w:cs="Times New Roman"/>
                <w:color w:val="000000"/>
                <w:sz w:val="22"/>
                <w:u w:val="single"/>
              </w:rPr>
            </w:pPr>
            <w:r w:rsidRPr="00E14DE7">
              <w:rPr>
                <w:rFonts w:cs="Times New Roman"/>
                <w:color w:val="000000"/>
                <w:sz w:val="22"/>
                <w:u w:val="single"/>
              </w:rPr>
              <w:t>b) The registration form of Online Meeting Participation and electronic voting are as valid as those physically attended and voted at the direct meeting.</w:t>
            </w:r>
          </w:p>
          <w:p w14:paraId="03F519E8" w14:textId="77777777" w:rsidR="00202C5D" w:rsidRPr="00E14DE7" w:rsidRDefault="00202C5D" w:rsidP="00C301A3">
            <w:pPr>
              <w:widowControl w:val="0"/>
              <w:adjustRightInd w:val="0"/>
              <w:snapToGrid w:val="0"/>
              <w:spacing w:before="60" w:after="60"/>
              <w:jc w:val="both"/>
              <w:rPr>
                <w:rFonts w:cs="Times New Roman"/>
                <w:color w:val="000000"/>
                <w:sz w:val="22"/>
                <w:u w:val="single"/>
              </w:rPr>
            </w:pPr>
            <w:r w:rsidRPr="00E14DE7">
              <w:rPr>
                <w:rFonts w:cs="Times New Roman"/>
                <w:color w:val="000000"/>
                <w:sz w:val="22"/>
                <w:u w:val="single"/>
              </w:rPr>
              <w:t>b) The system for organizing the Online General Meeting of Shareholders and electronic voting must meet the following conditions:</w:t>
            </w:r>
          </w:p>
          <w:p w14:paraId="6CEF8C28" w14:textId="77777777" w:rsidR="00202C5D" w:rsidRPr="00E14DE7" w:rsidRDefault="00202C5D" w:rsidP="00C301A3">
            <w:pPr>
              <w:widowControl w:val="0"/>
              <w:adjustRightInd w:val="0"/>
              <w:snapToGrid w:val="0"/>
              <w:spacing w:before="60" w:after="60"/>
              <w:jc w:val="both"/>
              <w:rPr>
                <w:rFonts w:cs="Times New Roman"/>
                <w:color w:val="000000"/>
                <w:sz w:val="22"/>
                <w:u w:val="single"/>
              </w:rPr>
            </w:pPr>
            <w:r w:rsidRPr="00E14DE7">
              <w:rPr>
                <w:rFonts w:cs="Times New Roman"/>
                <w:color w:val="000000"/>
                <w:sz w:val="22"/>
                <w:u w:val="single"/>
              </w:rPr>
              <w:lastRenderedPageBreak/>
              <w:t>- The system must be maintained safely and stably, ready to meet the connection and participation requirements of shareholders.</w:t>
            </w:r>
          </w:p>
          <w:p w14:paraId="3CE0C12F" w14:textId="77777777" w:rsidR="00202C5D" w:rsidRPr="00E14DE7" w:rsidRDefault="00202C5D" w:rsidP="00C301A3">
            <w:pPr>
              <w:widowControl w:val="0"/>
              <w:adjustRightInd w:val="0"/>
              <w:snapToGrid w:val="0"/>
              <w:spacing w:before="60" w:after="60"/>
              <w:jc w:val="both"/>
              <w:rPr>
                <w:rFonts w:cs="Times New Roman"/>
                <w:color w:val="000000"/>
                <w:sz w:val="22"/>
                <w:u w:val="single"/>
              </w:rPr>
            </w:pPr>
            <w:r w:rsidRPr="00E14DE7">
              <w:rPr>
                <w:rFonts w:cs="Times New Roman"/>
                <w:color w:val="000000"/>
                <w:sz w:val="22"/>
                <w:u w:val="single"/>
              </w:rPr>
              <w:t>- The main venue must be qualified with the conditions of audio, lighting, transmission line, power supply, electronic media and other facilities in accordance with the requirements and nature of the online meeting.</w:t>
            </w:r>
          </w:p>
          <w:p w14:paraId="155FFC39" w14:textId="187F55F4" w:rsidR="00202C5D" w:rsidRPr="00E14DE7" w:rsidRDefault="00202C5D" w:rsidP="00C301A3">
            <w:pPr>
              <w:widowControl w:val="0"/>
              <w:adjustRightInd w:val="0"/>
              <w:snapToGrid w:val="0"/>
              <w:spacing w:before="60" w:after="60"/>
              <w:jc w:val="both"/>
              <w:rPr>
                <w:rFonts w:cs="Times New Roman"/>
                <w:color w:val="000000"/>
                <w:sz w:val="22"/>
                <w:u w:val="single"/>
              </w:rPr>
            </w:pPr>
            <w:r w:rsidRPr="00E14DE7">
              <w:rPr>
                <w:rFonts w:cs="Times New Roman"/>
                <w:color w:val="000000"/>
                <w:sz w:val="22"/>
                <w:u w:val="single"/>
              </w:rPr>
              <w:t>- Information security must be ensured, and login credentials must be kept confidential. All information received and provided through the system must comply with information security principles and relevant provisions of Law on Cyberinformation Security and Law on Cybersecurity.</w:t>
            </w:r>
          </w:p>
          <w:p w14:paraId="1E5BC983" w14:textId="77777777" w:rsidR="00202C5D" w:rsidRPr="00E14DE7" w:rsidRDefault="00202C5D" w:rsidP="00C301A3">
            <w:pPr>
              <w:widowControl w:val="0"/>
              <w:adjustRightInd w:val="0"/>
              <w:snapToGrid w:val="0"/>
              <w:spacing w:before="60" w:after="60"/>
              <w:jc w:val="both"/>
              <w:rPr>
                <w:rFonts w:cs="Times New Roman"/>
                <w:color w:val="000000"/>
                <w:sz w:val="22"/>
                <w:u w:val="single"/>
              </w:rPr>
            </w:pPr>
            <w:r w:rsidRPr="00E14DE7">
              <w:rPr>
                <w:rFonts w:cs="Times New Roman"/>
                <w:color w:val="000000"/>
                <w:sz w:val="22"/>
                <w:u w:val="single"/>
              </w:rPr>
              <w:t>- Electronic data related to the online General Meeting of Shareholders must be recorded, stored, and used in compliance with regulations.</w:t>
            </w:r>
          </w:p>
          <w:p w14:paraId="67B97F34" w14:textId="424E5FE9" w:rsidR="00202C5D" w:rsidRPr="00E14DE7" w:rsidRDefault="00202C5D" w:rsidP="00C301A3">
            <w:pPr>
              <w:widowControl w:val="0"/>
              <w:adjustRightInd w:val="0"/>
              <w:snapToGrid w:val="0"/>
              <w:spacing w:before="60" w:after="60"/>
              <w:jc w:val="both"/>
              <w:rPr>
                <w:rFonts w:cs="Times New Roman"/>
                <w:i/>
                <w:iCs/>
                <w:color w:val="000000" w:themeColor="text1"/>
                <w:sz w:val="22"/>
              </w:rPr>
            </w:pPr>
            <w:r w:rsidRPr="00E14DE7">
              <w:rPr>
                <w:rFonts w:cs="Times New Roman"/>
                <w:color w:val="000000"/>
                <w:sz w:val="22"/>
                <w:u w:val="single"/>
              </w:rPr>
              <w:t>d. The Board of Management is responsible for promulgating the specific provisions and guidances necessary to the shareholders to join the Online Meeting and carry out the electronic voting.</w:t>
            </w:r>
          </w:p>
        </w:tc>
        <w:tc>
          <w:tcPr>
            <w:tcW w:w="1033" w:type="pct"/>
          </w:tcPr>
          <w:p w14:paraId="5C07FA24" w14:textId="6DEE3297" w:rsidR="00202C5D" w:rsidRPr="00E14DE7" w:rsidRDefault="0065126B" w:rsidP="00C301A3">
            <w:pPr>
              <w:widowControl w:val="0"/>
              <w:adjustRightInd w:val="0"/>
              <w:snapToGrid w:val="0"/>
              <w:spacing w:before="60" w:after="60"/>
              <w:jc w:val="both"/>
              <w:rPr>
                <w:rFonts w:cs="Times New Roman"/>
                <w:sz w:val="22"/>
              </w:rPr>
            </w:pPr>
            <w:r w:rsidRPr="00E14DE7">
              <w:rPr>
                <w:rFonts w:cs="Times New Roman"/>
                <w:sz w:val="22"/>
              </w:rPr>
              <w:lastRenderedPageBreak/>
              <w:t>Integrate Clause 9, Article 10 of the Regulation 218 with Clause 4, Article 5 of the Regulation 218 because such two Articles specify the same regulations on online meeting.</w:t>
            </w:r>
          </w:p>
          <w:p w14:paraId="5251D451" w14:textId="4157501F" w:rsidR="00202C5D" w:rsidRPr="00E14DE7" w:rsidRDefault="00202C5D" w:rsidP="00C301A3">
            <w:pPr>
              <w:widowControl w:val="0"/>
              <w:adjustRightInd w:val="0"/>
              <w:snapToGrid w:val="0"/>
              <w:spacing w:before="60" w:after="60"/>
              <w:jc w:val="both"/>
              <w:rPr>
                <w:rFonts w:cs="Times New Roman"/>
                <w:sz w:val="22"/>
              </w:rPr>
            </w:pPr>
            <w:r w:rsidRPr="00E14DE7">
              <w:rPr>
                <w:rFonts w:cs="Times New Roman"/>
                <w:sz w:val="22"/>
              </w:rPr>
              <w:t>Moreover, the amended contents aim to be consistent with Article 20, clause 9 of the 2026 Draft Charter.</w:t>
            </w:r>
          </w:p>
        </w:tc>
      </w:tr>
      <w:tr w:rsidR="000503B6" w:rsidRPr="00E14DE7" w14:paraId="05ABD6FC" w14:textId="77777777" w:rsidTr="00EB2EA0">
        <w:trPr>
          <w:trHeight w:val="20"/>
        </w:trPr>
        <w:tc>
          <w:tcPr>
            <w:tcW w:w="215" w:type="pct"/>
          </w:tcPr>
          <w:p w14:paraId="626AAB10" w14:textId="77777777" w:rsidR="000503B6" w:rsidRPr="00E14DE7" w:rsidRDefault="000503B6"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31316BD7" w14:textId="6E530CF3" w:rsidR="000503B6" w:rsidRPr="00E14DE7" w:rsidRDefault="000503B6" w:rsidP="000503B6">
            <w:pPr>
              <w:widowControl w:val="0"/>
              <w:adjustRightInd w:val="0"/>
              <w:snapToGrid w:val="0"/>
              <w:spacing w:before="60" w:after="60"/>
              <w:rPr>
                <w:rFonts w:cs="Times New Roman"/>
                <w:sz w:val="22"/>
              </w:rPr>
            </w:pPr>
            <w:r w:rsidRPr="00E14DE7">
              <w:rPr>
                <w:rFonts w:cs="Times New Roman"/>
                <w:sz w:val="22"/>
              </w:rPr>
              <w:t>Article 13, Clauses 3, 4, 4 &amp; 5</w:t>
            </w:r>
          </w:p>
        </w:tc>
        <w:tc>
          <w:tcPr>
            <w:tcW w:w="1167" w:type="pct"/>
          </w:tcPr>
          <w:p w14:paraId="5002E794" w14:textId="468225CE" w:rsidR="000503B6" w:rsidRPr="00E14DE7" w:rsidRDefault="000503B6" w:rsidP="000503B6">
            <w:pPr>
              <w:widowControl w:val="0"/>
              <w:adjustRightInd w:val="0"/>
              <w:snapToGrid w:val="0"/>
              <w:spacing w:before="60" w:after="60"/>
              <w:jc w:val="both"/>
              <w:rPr>
                <w:rFonts w:eastAsiaTheme="minorEastAsia" w:cs="Times New Roman"/>
                <w:sz w:val="22"/>
              </w:rPr>
            </w:pPr>
            <w:r w:rsidRPr="00E14DE7">
              <w:rPr>
                <w:rFonts w:cs="Times New Roman"/>
                <w:color w:val="000000" w:themeColor="text1"/>
                <w:sz w:val="22"/>
              </w:rPr>
              <w:t>3. Resolutions of the General Meeting of Shareholders which is ratified with 100% of voting shares shall be legitimate and effective even if the sequences and procedures for ratifying such Resolution are not conformable with regulations of the Law on Enterprises and the Petrolimex Charter.</w:t>
            </w:r>
          </w:p>
        </w:tc>
        <w:tc>
          <w:tcPr>
            <w:tcW w:w="2011" w:type="pct"/>
          </w:tcPr>
          <w:p w14:paraId="342C7DE0" w14:textId="595961A8" w:rsidR="00D25A91" w:rsidRPr="00E14DE7" w:rsidRDefault="00D25A91" w:rsidP="000503B6">
            <w:pPr>
              <w:widowControl w:val="0"/>
              <w:adjustRightInd w:val="0"/>
              <w:snapToGrid w:val="0"/>
              <w:spacing w:before="60" w:after="60"/>
              <w:jc w:val="both"/>
              <w:rPr>
                <w:rFonts w:cs="Times New Roman"/>
                <w:bCs/>
                <w:color w:val="000000" w:themeColor="text1"/>
                <w:sz w:val="22"/>
              </w:rPr>
            </w:pPr>
            <w:r w:rsidRPr="00E14DE7">
              <w:rPr>
                <w:rFonts w:cs="Times New Roman"/>
                <w:color w:val="000000" w:themeColor="text1"/>
                <w:sz w:val="22"/>
              </w:rPr>
              <w:t>Article 14</w:t>
            </w:r>
          </w:p>
          <w:p w14:paraId="374F28BE" w14:textId="37C5A3DF" w:rsidR="000503B6" w:rsidRPr="00E14DE7" w:rsidRDefault="000503B6" w:rsidP="000503B6">
            <w:pPr>
              <w:widowControl w:val="0"/>
              <w:adjustRightInd w:val="0"/>
              <w:snapToGrid w:val="0"/>
              <w:spacing w:before="60" w:after="60"/>
              <w:jc w:val="both"/>
              <w:rPr>
                <w:rFonts w:cs="Times New Roman"/>
                <w:bCs/>
                <w:color w:val="000000" w:themeColor="text1"/>
                <w:sz w:val="22"/>
              </w:rPr>
            </w:pPr>
            <w:r w:rsidRPr="00E14DE7">
              <w:rPr>
                <w:rFonts w:cs="Times New Roman"/>
                <w:color w:val="000000" w:themeColor="text1"/>
                <w:sz w:val="22"/>
              </w:rPr>
              <w:t xml:space="preserve">3. </w:t>
            </w:r>
            <w:r w:rsidRPr="00E14DE7">
              <w:rPr>
                <w:rFonts w:cs="Times New Roman"/>
                <w:color w:val="000000" w:themeColor="text1"/>
                <w:sz w:val="22"/>
                <w:u w:val="single"/>
              </w:rPr>
              <w:t>The resolutions of the General Meeting of Shareholders are valid and enforceable since approval date or effective date specified hereof.</w:t>
            </w:r>
            <w:r w:rsidRPr="00E14DE7">
              <w:rPr>
                <w:rFonts w:cs="Times New Roman"/>
                <w:color w:val="000000" w:themeColor="text1"/>
                <w:sz w:val="22"/>
              </w:rPr>
              <w:t xml:space="preserve"> Resolutions of the General Meeting of Shareholders which is ratified with 100% of voting shares shall be legitimate and effective even if the sequences and procedures for ratifying such Resolution are not conformable with regulations of the Law on Enterprises and the Petrolimex Charter.</w:t>
            </w:r>
          </w:p>
          <w:p w14:paraId="1F0B89D7" w14:textId="763C6A1F" w:rsidR="00B05681" w:rsidRPr="00E14DE7" w:rsidRDefault="00AA45C3" w:rsidP="000503B6">
            <w:pPr>
              <w:widowControl w:val="0"/>
              <w:adjustRightInd w:val="0"/>
              <w:snapToGrid w:val="0"/>
              <w:spacing w:before="60" w:after="60"/>
              <w:jc w:val="both"/>
              <w:rPr>
                <w:rFonts w:cs="Times New Roman"/>
                <w:bCs/>
                <w:color w:val="000000" w:themeColor="text1"/>
                <w:sz w:val="22"/>
              </w:rPr>
            </w:pPr>
            <w:r w:rsidRPr="00E14DE7">
              <w:rPr>
                <w:rFonts w:cs="Times New Roman"/>
                <w:color w:val="000000" w:themeColor="text1"/>
                <w:sz w:val="22"/>
              </w:rPr>
              <w:t xml:space="preserve">In the event that the shareholders or groups of shareholders request the Court or Arbitration to cancel the resolutions of General Meeting of Shareholders as prescribed in Article 151 of the Law on Enterprises, such resolutions are still </w:t>
            </w:r>
            <w:r w:rsidRPr="00E14DE7">
              <w:rPr>
                <w:rFonts w:cs="Times New Roman"/>
                <w:color w:val="000000" w:themeColor="text1"/>
                <w:sz w:val="22"/>
              </w:rPr>
              <w:lastRenderedPageBreak/>
              <w:t>valid and enforceable till other decisions are made by the Court or Arbitrator, except for the relief released by the competent authority.</w:t>
            </w:r>
          </w:p>
          <w:p w14:paraId="1A7AF5C1" w14:textId="18FBC3B4" w:rsidR="000503B6" w:rsidRPr="00E14DE7" w:rsidRDefault="000503B6" w:rsidP="000503B6">
            <w:pPr>
              <w:widowControl w:val="0"/>
              <w:adjustRightInd w:val="0"/>
              <w:snapToGrid w:val="0"/>
              <w:spacing w:before="60" w:after="60"/>
              <w:jc w:val="both"/>
              <w:rPr>
                <w:rFonts w:cs="Times New Roman"/>
                <w:sz w:val="22"/>
              </w:rPr>
            </w:pPr>
          </w:p>
        </w:tc>
        <w:tc>
          <w:tcPr>
            <w:tcW w:w="1033" w:type="pct"/>
          </w:tcPr>
          <w:p w14:paraId="13F4D673" w14:textId="6617C01E" w:rsidR="000503B6" w:rsidRPr="00E14DE7" w:rsidRDefault="000503B6" w:rsidP="000503B6">
            <w:pPr>
              <w:widowControl w:val="0"/>
              <w:spacing w:before="60" w:after="60"/>
              <w:jc w:val="both"/>
              <w:rPr>
                <w:rFonts w:cs="Times New Roman"/>
                <w:color w:val="000000" w:themeColor="text1"/>
                <w:sz w:val="22"/>
              </w:rPr>
            </w:pPr>
            <w:r w:rsidRPr="00E14DE7">
              <w:rPr>
                <w:rFonts w:cs="Times New Roman"/>
                <w:color w:val="000000" w:themeColor="text1"/>
                <w:sz w:val="22"/>
              </w:rPr>
              <w:lastRenderedPageBreak/>
              <w:t xml:space="preserve">Remove the repeated contents at Article 13, the second Clause 4 of the Regulation 218 and change to Article 14, clause 3 of the Draft Regulation. </w:t>
            </w:r>
          </w:p>
          <w:p w14:paraId="7A32B08C" w14:textId="39F6A2A6" w:rsidR="000503B6" w:rsidRPr="00E14DE7" w:rsidRDefault="000503B6" w:rsidP="000503B6">
            <w:pPr>
              <w:widowControl w:val="0"/>
              <w:spacing w:before="60" w:after="60"/>
              <w:jc w:val="both"/>
              <w:rPr>
                <w:rFonts w:cs="Times New Roman"/>
                <w:sz w:val="22"/>
              </w:rPr>
            </w:pPr>
            <w:r w:rsidRPr="00E14DE7">
              <w:rPr>
                <w:rFonts w:cs="Times New Roman"/>
                <w:color w:val="000000" w:themeColor="text1"/>
                <w:sz w:val="22"/>
              </w:rPr>
              <w:t>Correct the serial number of Clauses in Article 13 of the Regulation 218 because there are two clauses numbered as Clause 4.</w:t>
            </w:r>
          </w:p>
        </w:tc>
      </w:tr>
      <w:tr w:rsidR="00C301A3" w:rsidRPr="00E14DE7" w14:paraId="37387DF2" w14:textId="77777777" w:rsidTr="00EB2EA0">
        <w:trPr>
          <w:trHeight w:val="20"/>
        </w:trPr>
        <w:tc>
          <w:tcPr>
            <w:tcW w:w="215" w:type="pct"/>
          </w:tcPr>
          <w:p w14:paraId="1B0E8093" w14:textId="77777777" w:rsidR="00560CC1" w:rsidRPr="00E14DE7" w:rsidRDefault="00560CC1"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16673EDA" w14:textId="42C65789" w:rsidR="00560CC1" w:rsidRPr="00E14DE7" w:rsidRDefault="00560CC1" w:rsidP="00C301A3">
            <w:pPr>
              <w:widowControl w:val="0"/>
              <w:adjustRightInd w:val="0"/>
              <w:snapToGrid w:val="0"/>
              <w:spacing w:before="60" w:after="60"/>
              <w:rPr>
                <w:rFonts w:cs="Times New Roman"/>
                <w:color w:val="000000" w:themeColor="text1"/>
                <w:sz w:val="22"/>
              </w:rPr>
            </w:pPr>
            <w:r w:rsidRPr="00E14DE7">
              <w:rPr>
                <w:rFonts w:cs="Times New Roman"/>
                <w:color w:val="000000" w:themeColor="text1"/>
                <w:sz w:val="22"/>
              </w:rPr>
              <w:t>Article 15, Clause 4</w:t>
            </w:r>
          </w:p>
        </w:tc>
        <w:tc>
          <w:tcPr>
            <w:tcW w:w="1167" w:type="pct"/>
          </w:tcPr>
          <w:p w14:paraId="4E18FD82" w14:textId="77777777" w:rsidR="00560CC1" w:rsidRPr="00E14DE7" w:rsidRDefault="00560CC1" w:rsidP="00C301A3">
            <w:pPr>
              <w:widowControl w:val="0"/>
              <w:adjustRightInd w:val="0"/>
              <w:snapToGrid w:val="0"/>
              <w:spacing w:before="60" w:after="60"/>
              <w:jc w:val="both"/>
              <w:rPr>
                <w:rFonts w:cs="Times New Roman"/>
                <w:color w:val="000000"/>
                <w:sz w:val="22"/>
              </w:rPr>
            </w:pPr>
            <w:r w:rsidRPr="00E14DE7">
              <w:rPr>
                <w:rFonts w:cs="Times New Roman"/>
                <w:color w:val="000000"/>
                <w:sz w:val="22"/>
              </w:rPr>
              <w:t>4. Shareholders may send completed written opinion form to Petrolimex by mail delivery, fax or email as prescribed as follows:</w:t>
            </w:r>
          </w:p>
          <w:p w14:paraId="2FC23CCB" w14:textId="77777777" w:rsidR="00560CC1" w:rsidRPr="00E14DE7" w:rsidRDefault="00560CC1" w:rsidP="00C301A3">
            <w:pPr>
              <w:widowControl w:val="0"/>
              <w:adjustRightInd w:val="0"/>
              <w:snapToGrid w:val="0"/>
              <w:spacing w:before="60" w:after="60"/>
              <w:jc w:val="both"/>
              <w:rPr>
                <w:rFonts w:cs="Times New Roman"/>
                <w:color w:val="000000"/>
                <w:sz w:val="22"/>
              </w:rPr>
            </w:pPr>
            <w:r w:rsidRPr="00E14DE7">
              <w:rPr>
                <w:rFonts w:cs="Times New Roman"/>
                <w:color w:val="000000"/>
                <w:sz w:val="22"/>
              </w:rPr>
              <w:t>a) By post: The completed written opinion form must bear the signature of the shareholder if the shareholder is an individual, or signature of the authorized representative or legal representative if the shareholder is an organization. Every written opinion form sent to Petrolimex must be put into sealed envelopes. Envelopes must not be opened before counting;</w:t>
            </w:r>
          </w:p>
          <w:p w14:paraId="49A3060C" w14:textId="77777777" w:rsidR="00560CC1" w:rsidRPr="00E14DE7" w:rsidRDefault="00560CC1" w:rsidP="00C301A3">
            <w:pPr>
              <w:widowControl w:val="0"/>
              <w:adjustRightInd w:val="0"/>
              <w:snapToGrid w:val="0"/>
              <w:spacing w:before="60" w:after="60"/>
              <w:jc w:val="both"/>
              <w:rPr>
                <w:rFonts w:cs="Times New Roman"/>
                <w:color w:val="000000"/>
                <w:sz w:val="22"/>
              </w:rPr>
            </w:pPr>
            <w:r w:rsidRPr="00E14DE7">
              <w:rPr>
                <w:rFonts w:cs="Times New Roman"/>
                <w:color w:val="000000"/>
                <w:sz w:val="22"/>
              </w:rPr>
              <w:t>b) By fax or email: Written opinion forms sent by fax or email must be kept confidential until the vote counting time;</w:t>
            </w:r>
          </w:p>
          <w:p w14:paraId="11E2F48F" w14:textId="0E2BCD15" w:rsidR="00560CC1" w:rsidRPr="00E14DE7" w:rsidRDefault="00560CC1" w:rsidP="00C301A3">
            <w:pPr>
              <w:widowControl w:val="0"/>
              <w:adjustRightInd w:val="0"/>
              <w:snapToGrid w:val="0"/>
              <w:spacing w:before="60" w:after="60"/>
              <w:jc w:val="both"/>
              <w:rPr>
                <w:rFonts w:cs="Times New Roman"/>
                <w:color w:val="000000"/>
                <w:sz w:val="22"/>
              </w:rPr>
            </w:pPr>
            <w:r w:rsidRPr="00E14DE7">
              <w:rPr>
                <w:rFonts w:cs="Times New Roman"/>
                <w:color w:val="000000"/>
                <w:sz w:val="22"/>
              </w:rPr>
              <w:t xml:space="preserve">c) Written opinion forms sent to Petrolimex after the deadline written therein, written opinion forms sent by post in envelopes that are opened, written opinion forms sent by fax or email that are revealed are all invalid. If a written opinion form is not </w:t>
            </w:r>
            <w:r w:rsidRPr="00E14DE7">
              <w:rPr>
                <w:rFonts w:cs="Times New Roman"/>
                <w:color w:val="000000"/>
                <w:sz w:val="22"/>
              </w:rPr>
              <w:lastRenderedPageBreak/>
              <w:t>submitted, it will be excluded from voting.</w:t>
            </w:r>
          </w:p>
        </w:tc>
        <w:tc>
          <w:tcPr>
            <w:tcW w:w="2011" w:type="pct"/>
          </w:tcPr>
          <w:p w14:paraId="28109028" w14:textId="3F2D232E" w:rsidR="00715EC1" w:rsidRPr="00E14DE7" w:rsidRDefault="00715EC1" w:rsidP="00C301A3">
            <w:pPr>
              <w:widowControl w:val="0"/>
              <w:adjustRightInd w:val="0"/>
              <w:snapToGrid w:val="0"/>
              <w:spacing w:before="60" w:after="60"/>
              <w:jc w:val="both"/>
              <w:rPr>
                <w:rFonts w:cs="Times New Roman"/>
                <w:color w:val="000000"/>
                <w:sz w:val="22"/>
              </w:rPr>
            </w:pPr>
            <w:r w:rsidRPr="00E14DE7">
              <w:rPr>
                <w:rFonts w:cs="Times New Roman"/>
                <w:color w:val="000000"/>
                <w:sz w:val="22"/>
              </w:rPr>
              <w:lastRenderedPageBreak/>
              <w:t>Article 16</w:t>
            </w:r>
          </w:p>
          <w:p w14:paraId="4167667C" w14:textId="6E4A00E0" w:rsidR="00560CC1" w:rsidRPr="00E14DE7" w:rsidRDefault="00560CC1" w:rsidP="00C301A3">
            <w:pPr>
              <w:widowControl w:val="0"/>
              <w:adjustRightInd w:val="0"/>
              <w:snapToGrid w:val="0"/>
              <w:spacing w:before="60" w:after="60"/>
              <w:jc w:val="both"/>
              <w:rPr>
                <w:rFonts w:cs="Times New Roman"/>
                <w:color w:val="000000"/>
                <w:sz w:val="22"/>
              </w:rPr>
            </w:pPr>
            <w:r w:rsidRPr="00E14DE7">
              <w:rPr>
                <w:rFonts w:cs="Times New Roman"/>
                <w:color w:val="000000"/>
                <w:sz w:val="22"/>
              </w:rPr>
              <w:t xml:space="preserve">4. Shareholders may send completed written opinion form to Petrolimex by mail delivery, fax, email </w:t>
            </w:r>
            <w:r w:rsidRPr="00E14DE7">
              <w:rPr>
                <w:rFonts w:cs="Times New Roman"/>
                <w:color w:val="000000"/>
                <w:sz w:val="22"/>
                <w:u w:val="single"/>
              </w:rPr>
              <w:t>or other data messages</w:t>
            </w:r>
            <w:r w:rsidRPr="00E14DE7">
              <w:rPr>
                <w:rFonts w:cs="Times New Roman"/>
                <w:color w:val="000000"/>
                <w:sz w:val="22"/>
              </w:rPr>
              <w:t xml:space="preserve"> in accordance with following regulations:</w:t>
            </w:r>
          </w:p>
          <w:p w14:paraId="36D3844E" w14:textId="77777777" w:rsidR="00560CC1" w:rsidRPr="00E14DE7" w:rsidRDefault="00560CC1" w:rsidP="00C301A3">
            <w:pPr>
              <w:widowControl w:val="0"/>
              <w:adjustRightInd w:val="0"/>
              <w:snapToGrid w:val="0"/>
              <w:spacing w:before="60" w:after="60"/>
              <w:jc w:val="both"/>
              <w:rPr>
                <w:rFonts w:cs="Times New Roman"/>
                <w:color w:val="000000"/>
                <w:sz w:val="22"/>
              </w:rPr>
            </w:pPr>
            <w:r w:rsidRPr="00E14DE7">
              <w:rPr>
                <w:rFonts w:cs="Times New Roman"/>
                <w:color w:val="000000"/>
                <w:sz w:val="22"/>
              </w:rPr>
              <w:t>a) By post: The completed written opinion form must bear the signature of the shareholder if the shareholder is an individual, or signature of the authorized representative or legal representative if the shareholder is an organization. Every written opinion form sent to Petrolimex must be put into sealed envelopes. Envelopes must not be opened before counting;</w:t>
            </w:r>
          </w:p>
          <w:p w14:paraId="6B877555" w14:textId="77777777" w:rsidR="00560CC1" w:rsidRPr="00E14DE7" w:rsidRDefault="00560CC1" w:rsidP="00C301A3">
            <w:pPr>
              <w:widowControl w:val="0"/>
              <w:adjustRightInd w:val="0"/>
              <w:snapToGrid w:val="0"/>
              <w:spacing w:before="60" w:after="60"/>
              <w:jc w:val="both"/>
              <w:rPr>
                <w:rFonts w:cs="Times New Roman"/>
                <w:color w:val="000000"/>
                <w:sz w:val="22"/>
              </w:rPr>
            </w:pPr>
            <w:r w:rsidRPr="00E14DE7">
              <w:rPr>
                <w:rFonts w:cs="Times New Roman"/>
                <w:color w:val="000000"/>
                <w:sz w:val="22"/>
              </w:rPr>
              <w:t>b) By fax</w:t>
            </w:r>
            <w:r w:rsidRPr="00E14DE7">
              <w:rPr>
                <w:rFonts w:cs="Times New Roman"/>
                <w:color w:val="000000"/>
                <w:sz w:val="22"/>
                <w:u w:val="single"/>
              </w:rPr>
              <w:t>,</w:t>
            </w:r>
            <w:r w:rsidRPr="00E14DE7">
              <w:rPr>
                <w:rFonts w:cs="Times New Roman"/>
                <w:color w:val="000000"/>
                <w:sz w:val="22"/>
              </w:rPr>
              <w:t xml:space="preserve"> email or </w:t>
            </w:r>
            <w:r w:rsidRPr="00E14DE7">
              <w:rPr>
                <w:rFonts w:cs="Times New Roman"/>
                <w:color w:val="000000"/>
                <w:sz w:val="22"/>
                <w:u w:val="single"/>
              </w:rPr>
              <w:t>other data message</w:t>
            </w:r>
            <w:r w:rsidRPr="00E14DE7">
              <w:rPr>
                <w:rFonts w:cs="Times New Roman"/>
                <w:color w:val="000000"/>
                <w:sz w:val="22"/>
              </w:rPr>
              <w:t>: Written opinion forms sent by fax or email must be kept confidential until the vote counting time;</w:t>
            </w:r>
          </w:p>
          <w:p w14:paraId="4ACCD0BD" w14:textId="46AD2548" w:rsidR="00560CC1" w:rsidRPr="00E14DE7" w:rsidRDefault="00560CC1" w:rsidP="00C301A3">
            <w:pPr>
              <w:widowControl w:val="0"/>
              <w:adjustRightInd w:val="0"/>
              <w:snapToGrid w:val="0"/>
              <w:spacing w:before="60" w:after="60"/>
              <w:jc w:val="both"/>
              <w:rPr>
                <w:rFonts w:cs="Times New Roman"/>
                <w:color w:val="000000"/>
                <w:sz w:val="22"/>
              </w:rPr>
            </w:pPr>
            <w:r w:rsidRPr="00E14DE7">
              <w:rPr>
                <w:rFonts w:cs="Times New Roman"/>
                <w:color w:val="000000"/>
                <w:sz w:val="22"/>
              </w:rPr>
              <w:t>c) Written opinion forms sent to Petrolimex after the deadline written therein, written opinion forms sent by post in envelopes that are opened, written opinion forms sent by fax or email that are revealed are all invalid. If a written opinion form is not submitted, it will be excluded from voting.</w:t>
            </w:r>
          </w:p>
        </w:tc>
        <w:tc>
          <w:tcPr>
            <w:tcW w:w="1033" w:type="pct"/>
          </w:tcPr>
          <w:p w14:paraId="36EE45BC" w14:textId="61B819AB" w:rsidR="00560CC1" w:rsidRPr="00E14DE7" w:rsidRDefault="00560CC1"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The amended contents aim to be consistent with Article 22, clause 4 of the 2026 Draft Charter.</w:t>
            </w:r>
          </w:p>
          <w:p w14:paraId="2E70C4BE" w14:textId="37817843" w:rsidR="00560CC1" w:rsidRPr="00E14DE7" w:rsidRDefault="00560CC1" w:rsidP="00C301A3">
            <w:pPr>
              <w:widowControl w:val="0"/>
              <w:adjustRightInd w:val="0"/>
              <w:snapToGrid w:val="0"/>
              <w:spacing w:before="60" w:after="60"/>
              <w:jc w:val="both"/>
              <w:rPr>
                <w:rFonts w:cs="Times New Roman"/>
                <w:color w:val="000000" w:themeColor="text1"/>
                <w:sz w:val="22"/>
                <w:highlight w:val="yellow"/>
              </w:rPr>
            </w:pPr>
          </w:p>
        </w:tc>
      </w:tr>
      <w:tr w:rsidR="00C301A3" w:rsidRPr="00E14DE7" w14:paraId="65128268" w14:textId="77777777" w:rsidTr="00EB2EA0">
        <w:trPr>
          <w:trHeight w:val="20"/>
        </w:trPr>
        <w:tc>
          <w:tcPr>
            <w:tcW w:w="215" w:type="pct"/>
          </w:tcPr>
          <w:p w14:paraId="2D1421B7" w14:textId="209115B3" w:rsidR="00560CC1" w:rsidRPr="00E14DE7" w:rsidRDefault="00560CC1" w:rsidP="00EB2EA0">
            <w:pPr>
              <w:pStyle w:val="ListParagraph"/>
              <w:numPr>
                <w:ilvl w:val="0"/>
                <w:numId w:val="37"/>
              </w:numPr>
              <w:jc w:val="center"/>
              <w:rPr>
                <w:rFonts w:cs="Times New Roman"/>
                <w:sz w:val="22"/>
              </w:rPr>
            </w:pPr>
          </w:p>
        </w:tc>
        <w:tc>
          <w:tcPr>
            <w:tcW w:w="574" w:type="pct"/>
          </w:tcPr>
          <w:p w14:paraId="232D5197" w14:textId="40701950" w:rsidR="00560CC1" w:rsidRPr="00E14DE7" w:rsidRDefault="00560CC1" w:rsidP="00C301A3">
            <w:pPr>
              <w:rPr>
                <w:rFonts w:cs="Times New Roman"/>
                <w:color w:val="000000" w:themeColor="text1"/>
                <w:sz w:val="22"/>
              </w:rPr>
            </w:pPr>
            <w:r w:rsidRPr="00E14DE7">
              <w:rPr>
                <w:rFonts w:cs="Times New Roman"/>
                <w:color w:val="000000" w:themeColor="text1"/>
                <w:sz w:val="22"/>
              </w:rPr>
              <w:t>Article 16, Clause 4</w:t>
            </w:r>
          </w:p>
        </w:tc>
        <w:tc>
          <w:tcPr>
            <w:tcW w:w="1167" w:type="pct"/>
          </w:tcPr>
          <w:p w14:paraId="130380C0" w14:textId="5526355C" w:rsidR="00560CC1" w:rsidRPr="00E14DE7" w:rsidRDefault="00257F32" w:rsidP="00C301A3">
            <w:pPr>
              <w:jc w:val="both"/>
              <w:rPr>
                <w:rFonts w:cs="Times New Roman"/>
                <w:color w:val="000000" w:themeColor="text1"/>
                <w:sz w:val="22"/>
              </w:rPr>
            </w:pPr>
            <w:r w:rsidRPr="00E14DE7">
              <w:rPr>
                <w:rFonts w:cs="Times New Roman"/>
                <w:color w:val="000000" w:themeColor="text1"/>
                <w:sz w:val="22"/>
              </w:rPr>
              <w:t>4. Operations of independent member of Board of Management and assessment results of each independent member regarding the BOM’s operations.</w:t>
            </w:r>
          </w:p>
        </w:tc>
        <w:tc>
          <w:tcPr>
            <w:tcW w:w="2011" w:type="pct"/>
          </w:tcPr>
          <w:p w14:paraId="02D2ED2E" w14:textId="0437AC71" w:rsidR="005232D3" w:rsidRPr="00E14DE7" w:rsidRDefault="005232D3" w:rsidP="00C301A3">
            <w:pPr>
              <w:jc w:val="both"/>
              <w:rPr>
                <w:rFonts w:cs="Times New Roman"/>
                <w:color w:val="000000" w:themeColor="text1"/>
                <w:sz w:val="22"/>
              </w:rPr>
            </w:pPr>
            <w:r w:rsidRPr="00E14DE7">
              <w:rPr>
                <w:rFonts w:cs="Times New Roman"/>
                <w:color w:val="000000" w:themeColor="text1"/>
                <w:sz w:val="22"/>
              </w:rPr>
              <w:t>Article 17</w:t>
            </w:r>
          </w:p>
          <w:p w14:paraId="28EF4BE1" w14:textId="12F7E367" w:rsidR="00560CC1" w:rsidRPr="00E14DE7" w:rsidRDefault="00257F32" w:rsidP="00C301A3">
            <w:pPr>
              <w:jc w:val="both"/>
              <w:rPr>
                <w:rFonts w:cs="Times New Roman"/>
                <w:color w:val="000000" w:themeColor="text1"/>
                <w:sz w:val="22"/>
              </w:rPr>
            </w:pPr>
            <w:r w:rsidRPr="00E14DE7">
              <w:rPr>
                <w:rFonts w:cs="Times New Roman"/>
                <w:color w:val="000000" w:themeColor="text1"/>
                <w:sz w:val="22"/>
              </w:rPr>
              <w:t xml:space="preserve">4. Operations of independent member of Board of Management and assessment results of </w:t>
            </w:r>
            <w:r w:rsidRPr="00E14DE7">
              <w:rPr>
                <w:rFonts w:cs="Times New Roman"/>
                <w:color w:val="000000" w:themeColor="text1"/>
                <w:sz w:val="22"/>
                <w:u w:val="single"/>
              </w:rPr>
              <w:t>each</w:t>
            </w:r>
            <w:r w:rsidRPr="00E14DE7">
              <w:rPr>
                <w:rFonts w:cs="Times New Roman"/>
                <w:color w:val="000000" w:themeColor="text1"/>
                <w:sz w:val="22"/>
              </w:rPr>
              <w:t xml:space="preserve"> independent member regarding the BOM’s operations.</w:t>
            </w:r>
          </w:p>
        </w:tc>
        <w:tc>
          <w:tcPr>
            <w:tcW w:w="1033" w:type="pct"/>
          </w:tcPr>
          <w:p w14:paraId="3AD63229" w14:textId="5B150B22" w:rsidR="00560CC1" w:rsidRPr="00E14DE7" w:rsidRDefault="00560CC1" w:rsidP="00C301A3">
            <w:pPr>
              <w:jc w:val="both"/>
              <w:rPr>
                <w:rFonts w:cs="Times New Roman"/>
                <w:color w:val="000000" w:themeColor="text1"/>
                <w:sz w:val="22"/>
              </w:rPr>
            </w:pPr>
            <w:r w:rsidRPr="00E14DE7">
              <w:rPr>
                <w:rFonts w:cs="Times New Roman"/>
                <w:color w:val="000000" w:themeColor="text1"/>
                <w:sz w:val="22"/>
              </w:rPr>
              <w:t xml:space="preserve">Amended contents are made </w:t>
            </w:r>
            <w:r w:rsidR="007F1352" w:rsidRPr="00E14DE7">
              <w:rPr>
                <w:rFonts w:cs="Times New Roman"/>
                <w:color w:val="000000" w:themeColor="text1"/>
                <w:sz w:val="22"/>
              </w:rPr>
              <w:t>to ensure compliance with Article</w:t>
            </w:r>
            <w:r w:rsidRPr="00E14DE7">
              <w:rPr>
                <w:rFonts w:cs="Times New Roman"/>
                <w:color w:val="000000" w:themeColor="text1"/>
                <w:sz w:val="22"/>
              </w:rPr>
              <w:t xml:space="preserve"> 1 Clause 82 of the Decree No. 245/2025/ND-CP.</w:t>
            </w:r>
          </w:p>
        </w:tc>
      </w:tr>
      <w:tr w:rsidR="00C301A3" w:rsidRPr="00E14DE7" w14:paraId="3B7CB9A4" w14:textId="77777777" w:rsidTr="00EB2EA0">
        <w:trPr>
          <w:trHeight w:val="20"/>
        </w:trPr>
        <w:tc>
          <w:tcPr>
            <w:tcW w:w="215" w:type="pct"/>
          </w:tcPr>
          <w:p w14:paraId="69256D3A" w14:textId="77777777" w:rsidR="002374E9" w:rsidRPr="00E14DE7" w:rsidRDefault="002374E9" w:rsidP="00EB2EA0">
            <w:pPr>
              <w:pStyle w:val="ListParagraph"/>
              <w:numPr>
                <w:ilvl w:val="0"/>
                <w:numId w:val="37"/>
              </w:numPr>
              <w:jc w:val="center"/>
              <w:rPr>
                <w:rFonts w:cs="Times New Roman"/>
                <w:sz w:val="22"/>
              </w:rPr>
            </w:pPr>
          </w:p>
        </w:tc>
        <w:tc>
          <w:tcPr>
            <w:tcW w:w="574" w:type="pct"/>
          </w:tcPr>
          <w:p w14:paraId="5BDC3D3C" w14:textId="63EEEC5E" w:rsidR="002374E9" w:rsidRPr="00E14DE7" w:rsidRDefault="002374E9" w:rsidP="00C301A3">
            <w:pPr>
              <w:rPr>
                <w:rFonts w:cs="Times New Roman"/>
                <w:color w:val="000000" w:themeColor="text1"/>
                <w:sz w:val="22"/>
              </w:rPr>
            </w:pPr>
            <w:r w:rsidRPr="00E14DE7">
              <w:rPr>
                <w:rFonts w:cs="Times New Roman"/>
                <w:color w:val="000000" w:themeColor="text1"/>
                <w:sz w:val="22"/>
              </w:rPr>
              <w:t>Article 18, Clause 2, point e</w:t>
            </w:r>
          </w:p>
        </w:tc>
        <w:tc>
          <w:tcPr>
            <w:tcW w:w="1167" w:type="pct"/>
          </w:tcPr>
          <w:p w14:paraId="2B26079B" w14:textId="26F6133C" w:rsidR="002374E9" w:rsidRPr="00E14DE7" w:rsidRDefault="00036DE5" w:rsidP="00C301A3">
            <w:pPr>
              <w:jc w:val="both"/>
              <w:rPr>
                <w:rFonts w:cs="Times New Roman"/>
                <w:bCs/>
                <w:color w:val="000000"/>
                <w:sz w:val="22"/>
              </w:rPr>
            </w:pPr>
            <w:r w:rsidRPr="00E14DE7">
              <w:rPr>
                <w:rFonts w:cs="Times New Roman"/>
                <w:color w:val="000000" w:themeColor="text1"/>
                <w:sz w:val="22"/>
              </w:rPr>
              <w:t>e) Approve the investment plan and investment project within the authority and limitation as prescribed by the laws;</w:t>
            </w:r>
          </w:p>
        </w:tc>
        <w:tc>
          <w:tcPr>
            <w:tcW w:w="2011" w:type="pct"/>
          </w:tcPr>
          <w:p w14:paraId="0370A524" w14:textId="6066C64D" w:rsidR="00036DE5" w:rsidRPr="00E14DE7" w:rsidRDefault="00036DE5" w:rsidP="00C301A3">
            <w:pPr>
              <w:jc w:val="both"/>
              <w:rPr>
                <w:rFonts w:cs="Times New Roman"/>
                <w:color w:val="000000" w:themeColor="text1"/>
                <w:sz w:val="22"/>
              </w:rPr>
            </w:pPr>
            <w:r w:rsidRPr="00E14DE7">
              <w:rPr>
                <w:rFonts w:cs="Times New Roman"/>
                <w:color w:val="000000" w:themeColor="text1"/>
                <w:sz w:val="22"/>
              </w:rPr>
              <w:t>Article 19, Clause 2</w:t>
            </w:r>
          </w:p>
          <w:p w14:paraId="6CFE92DB" w14:textId="7DE4F7C6" w:rsidR="002374E9" w:rsidRPr="00E14DE7" w:rsidRDefault="00036DE5" w:rsidP="00F622A3">
            <w:pPr>
              <w:jc w:val="both"/>
              <w:rPr>
                <w:rFonts w:cs="Times New Roman"/>
                <w:bCs/>
                <w:color w:val="000000"/>
                <w:sz w:val="22"/>
              </w:rPr>
            </w:pPr>
            <w:r w:rsidRPr="00E14DE7">
              <w:rPr>
                <w:rFonts w:cs="Times New Roman"/>
                <w:color w:val="000000" w:themeColor="text1"/>
                <w:sz w:val="22"/>
                <w:u w:val="single"/>
              </w:rPr>
              <w:t xml:space="preserve">e) Approve investments in each investment project and </w:t>
            </w:r>
            <w:r w:rsidR="00F622A3" w:rsidRPr="00E14DE7">
              <w:rPr>
                <w:rFonts w:cs="Times New Roman"/>
                <w:color w:val="000000" w:themeColor="text1"/>
                <w:sz w:val="22"/>
                <w:u w:val="single"/>
              </w:rPr>
              <w:t xml:space="preserve">investment </w:t>
            </w:r>
            <w:r w:rsidRPr="00E14DE7">
              <w:rPr>
                <w:rFonts w:cs="Times New Roman"/>
                <w:color w:val="000000" w:themeColor="text1"/>
                <w:sz w:val="22"/>
                <w:u w:val="single"/>
              </w:rPr>
              <w:t>item with a value not exceeding 50% of equity, or 50% of the owner’s investment capital where equity is lower than the owner’s investment capital, but not exceeding the cap prescribed by the Decree No. 366/2025/N</w:t>
            </w:r>
            <w:r w:rsidR="0004272D" w:rsidRPr="00E14DE7">
              <w:rPr>
                <w:rFonts w:cs="Times New Roman"/>
                <w:color w:val="000000" w:themeColor="text1"/>
                <w:sz w:val="22"/>
                <w:u w:val="single"/>
              </w:rPr>
              <w:t>D</w:t>
            </w:r>
            <w:r w:rsidRPr="00E14DE7">
              <w:rPr>
                <w:rFonts w:cs="Times New Roman"/>
                <w:color w:val="000000" w:themeColor="text1"/>
                <w:sz w:val="22"/>
                <w:u w:val="single"/>
              </w:rPr>
              <w:t>-CP (VND 5,000 billion). Equity and the owner’s investment capital described at this point shall be determined in accordance with Petrolimex’s most recent standalone quarterly or annual financial statements at the time of the investment.</w:t>
            </w:r>
          </w:p>
        </w:tc>
        <w:tc>
          <w:tcPr>
            <w:tcW w:w="1033" w:type="pct"/>
          </w:tcPr>
          <w:p w14:paraId="7D54DBAF" w14:textId="5AB8B0EE" w:rsidR="002374E9" w:rsidRPr="00E14DE7" w:rsidRDefault="002374E9" w:rsidP="00C301A3">
            <w:pPr>
              <w:jc w:val="both"/>
              <w:rPr>
                <w:rFonts w:cs="Times New Roman"/>
                <w:color w:val="000000" w:themeColor="text1"/>
                <w:sz w:val="22"/>
              </w:rPr>
            </w:pPr>
            <w:r w:rsidRPr="00E14DE7">
              <w:rPr>
                <w:rFonts w:cs="Times New Roman"/>
                <w:color w:val="000000" w:themeColor="text1"/>
                <w:sz w:val="22"/>
              </w:rPr>
              <w:t>Supplemented contents are made to be well matched with the additional recommendations at Article 27, Clause 2, point e of the 2026 Draft Charter.</w:t>
            </w:r>
          </w:p>
        </w:tc>
      </w:tr>
      <w:tr w:rsidR="00C301A3" w:rsidRPr="00E14DE7" w14:paraId="72A46846" w14:textId="77777777" w:rsidTr="00EB2EA0">
        <w:trPr>
          <w:trHeight w:val="20"/>
        </w:trPr>
        <w:tc>
          <w:tcPr>
            <w:tcW w:w="215" w:type="pct"/>
          </w:tcPr>
          <w:p w14:paraId="3DB89255" w14:textId="77777777" w:rsidR="002374E9" w:rsidRPr="00E14DE7" w:rsidRDefault="002374E9" w:rsidP="00EB2EA0">
            <w:pPr>
              <w:pStyle w:val="ListParagraph"/>
              <w:numPr>
                <w:ilvl w:val="0"/>
                <w:numId w:val="37"/>
              </w:numPr>
              <w:jc w:val="center"/>
              <w:rPr>
                <w:rFonts w:cs="Times New Roman"/>
                <w:sz w:val="22"/>
              </w:rPr>
            </w:pPr>
          </w:p>
        </w:tc>
        <w:tc>
          <w:tcPr>
            <w:tcW w:w="574" w:type="pct"/>
          </w:tcPr>
          <w:p w14:paraId="6CD29F5E" w14:textId="38322314" w:rsidR="002374E9" w:rsidRPr="00E14DE7" w:rsidRDefault="002374E9" w:rsidP="00C301A3">
            <w:pPr>
              <w:rPr>
                <w:rFonts w:cs="Times New Roman"/>
                <w:color w:val="000000" w:themeColor="text1"/>
                <w:sz w:val="22"/>
              </w:rPr>
            </w:pPr>
            <w:r w:rsidRPr="00E14DE7">
              <w:rPr>
                <w:rFonts w:cs="Times New Roman"/>
                <w:color w:val="000000" w:themeColor="text1"/>
                <w:sz w:val="22"/>
              </w:rPr>
              <w:t>Article 18, Clause 2</w:t>
            </w:r>
          </w:p>
        </w:tc>
        <w:tc>
          <w:tcPr>
            <w:tcW w:w="1167" w:type="pct"/>
          </w:tcPr>
          <w:p w14:paraId="6738C6D7" w14:textId="165087FB" w:rsidR="002374E9" w:rsidRPr="00E14DE7" w:rsidRDefault="002374E9" w:rsidP="00C301A3">
            <w:pPr>
              <w:jc w:val="both"/>
              <w:rPr>
                <w:rFonts w:cs="Times New Roman"/>
                <w:bCs/>
                <w:color w:val="000000"/>
                <w:sz w:val="22"/>
              </w:rPr>
            </w:pPr>
            <w:r w:rsidRPr="00E14DE7">
              <w:rPr>
                <w:rFonts w:cs="Times New Roman"/>
                <w:i/>
                <w:color w:val="000000" w:themeColor="text1"/>
                <w:sz w:val="22"/>
              </w:rPr>
              <w:t>Not specified</w:t>
            </w:r>
          </w:p>
        </w:tc>
        <w:tc>
          <w:tcPr>
            <w:tcW w:w="2011" w:type="pct"/>
          </w:tcPr>
          <w:p w14:paraId="42837D11" w14:textId="27C118F2" w:rsidR="00865C4F" w:rsidRPr="00E14DE7" w:rsidRDefault="00865C4F" w:rsidP="00C301A3">
            <w:pPr>
              <w:jc w:val="both"/>
              <w:rPr>
                <w:rFonts w:cs="Times New Roman"/>
                <w:color w:val="000000" w:themeColor="text1"/>
                <w:sz w:val="22"/>
              </w:rPr>
            </w:pPr>
            <w:r w:rsidRPr="00E14DE7">
              <w:rPr>
                <w:rFonts w:cs="Times New Roman"/>
                <w:color w:val="000000" w:themeColor="text1"/>
                <w:sz w:val="22"/>
              </w:rPr>
              <w:t>Article 19, Clause 2</w:t>
            </w:r>
          </w:p>
          <w:p w14:paraId="08312350" w14:textId="1E71134A" w:rsidR="002374E9" w:rsidRPr="00E14DE7" w:rsidRDefault="00865C4F" w:rsidP="00C301A3">
            <w:pPr>
              <w:jc w:val="both"/>
              <w:rPr>
                <w:rFonts w:cs="Times New Roman"/>
                <w:bCs/>
                <w:color w:val="000000"/>
                <w:sz w:val="22"/>
              </w:rPr>
            </w:pPr>
            <w:r w:rsidRPr="00E14DE7">
              <w:rPr>
                <w:rFonts w:cs="Times New Roman"/>
                <w:color w:val="000000" w:themeColor="text1"/>
                <w:sz w:val="22"/>
                <w:u w:val="single"/>
              </w:rPr>
              <w:t>g) Approve the acquisition, finance lease, and disposal of fixed assets with a value not exceeding 50% of equity, or 50% of the owner’s investment capital where equity is lower than the owner’s investment capital, but not exceeding the cap prescribed by the Decree No. 366/2025/N</w:t>
            </w:r>
            <w:r w:rsidR="0004272D" w:rsidRPr="00E14DE7">
              <w:rPr>
                <w:rFonts w:cs="Times New Roman"/>
                <w:color w:val="000000" w:themeColor="text1"/>
                <w:sz w:val="22"/>
                <w:u w:val="single"/>
              </w:rPr>
              <w:t>D</w:t>
            </w:r>
            <w:r w:rsidRPr="00E14DE7">
              <w:rPr>
                <w:rFonts w:cs="Times New Roman"/>
                <w:color w:val="000000" w:themeColor="text1"/>
                <w:sz w:val="22"/>
                <w:u w:val="single"/>
              </w:rPr>
              <w:t>-CP (VND 5,000 billion). Equity and the owner’s investment capital described at this point shall be determined in accordance with Petrolimex’s most recent standalone quarterly or annual financial statements at the time of the disposal decision. Asset value is determined in accordance with acquisition or finance lease value for acquisitions/leases of fixed assets or remaining value in accordance with the book value for disposals of fixed assets.</w:t>
            </w:r>
          </w:p>
        </w:tc>
        <w:tc>
          <w:tcPr>
            <w:tcW w:w="1033" w:type="pct"/>
          </w:tcPr>
          <w:p w14:paraId="60247B8B" w14:textId="76788A7B" w:rsidR="002374E9" w:rsidRPr="00E14DE7" w:rsidRDefault="002374E9" w:rsidP="00C301A3">
            <w:pPr>
              <w:jc w:val="both"/>
              <w:rPr>
                <w:rFonts w:cs="Times New Roman"/>
                <w:color w:val="000000" w:themeColor="text1"/>
                <w:sz w:val="22"/>
              </w:rPr>
            </w:pPr>
            <w:r w:rsidRPr="00E14DE7">
              <w:rPr>
                <w:rFonts w:cs="Times New Roman"/>
                <w:color w:val="000000" w:themeColor="text1"/>
                <w:sz w:val="22"/>
              </w:rPr>
              <w:t>Supplemented contents are made to be well matched with the additional recommendations at Article 27, Clause 2, point g the 2026 Draft Charter.</w:t>
            </w:r>
          </w:p>
        </w:tc>
      </w:tr>
      <w:tr w:rsidR="00C301A3" w:rsidRPr="00E14DE7" w14:paraId="47D247E0" w14:textId="77777777" w:rsidTr="00EB2EA0">
        <w:trPr>
          <w:trHeight w:val="20"/>
        </w:trPr>
        <w:tc>
          <w:tcPr>
            <w:tcW w:w="215" w:type="pct"/>
          </w:tcPr>
          <w:p w14:paraId="4DD3E038" w14:textId="77777777" w:rsidR="002374E9" w:rsidRPr="00E14DE7" w:rsidRDefault="002374E9" w:rsidP="00EB2EA0">
            <w:pPr>
              <w:pStyle w:val="ListParagraph"/>
              <w:numPr>
                <w:ilvl w:val="0"/>
                <w:numId w:val="37"/>
              </w:numPr>
              <w:jc w:val="center"/>
              <w:rPr>
                <w:rFonts w:cs="Times New Roman"/>
                <w:sz w:val="22"/>
              </w:rPr>
            </w:pPr>
          </w:p>
        </w:tc>
        <w:tc>
          <w:tcPr>
            <w:tcW w:w="574" w:type="pct"/>
          </w:tcPr>
          <w:p w14:paraId="544DA094" w14:textId="0965972F" w:rsidR="002374E9" w:rsidRPr="00E14DE7" w:rsidRDefault="002374E9" w:rsidP="00C301A3">
            <w:pPr>
              <w:rPr>
                <w:rFonts w:cs="Times New Roman"/>
                <w:color w:val="000000" w:themeColor="text1"/>
                <w:sz w:val="22"/>
              </w:rPr>
            </w:pPr>
            <w:r w:rsidRPr="00E14DE7">
              <w:rPr>
                <w:rFonts w:cs="Times New Roman"/>
                <w:color w:val="000000" w:themeColor="text1"/>
                <w:sz w:val="22"/>
              </w:rPr>
              <w:t xml:space="preserve">Article 18, </w:t>
            </w:r>
            <w:r w:rsidRPr="00E14DE7">
              <w:rPr>
                <w:rFonts w:cs="Times New Roman"/>
                <w:color w:val="000000" w:themeColor="text1"/>
                <w:sz w:val="22"/>
              </w:rPr>
              <w:lastRenderedPageBreak/>
              <w:t>Clause 2</w:t>
            </w:r>
          </w:p>
        </w:tc>
        <w:tc>
          <w:tcPr>
            <w:tcW w:w="1167" w:type="pct"/>
          </w:tcPr>
          <w:p w14:paraId="41163E9C" w14:textId="4334505F" w:rsidR="002374E9" w:rsidRPr="00E14DE7" w:rsidRDefault="002374E9" w:rsidP="00C301A3">
            <w:pPr>
              <w:jc w:val="both"/>
              <w:rPr>
                <w:rFonts w:cs="Times New Roman"/>
                <w:bCs/>
                <w:color w:val="000000"/>
                <w:sz w:val="22"/>
              </w:rPr>
            </w:pPr>
            <w:r w:rsidRPr="00E14DE7">
              <w:rPr>
                <w:rFonts w:cs="Times New Roman"/>
                <w:i/>
                <w:color w:val="000000" w:themeColor="text1"/>
                <w:sz w:val="22"/>
              </w:rPr>
              <w:lastRenderedPageBreak/>
              <w:t>Not specified</w:t>
            </w:r>
          </w:p>
        </w:tc>
        <w:tc>
          <w:tcPr>
            <w:tcW w:w="2011" w:type="pct"/>
          </w:tcPr>
          <w:p w14:paraId="53A553AC" w14:textId="78D65A62" w:rsidR="0026549A" w:rsidRPr="00E14DE7" w:rsidRDefault="0026549A" w:rsidP="00C301A3">
            <w:pPr>
              <w:jc w:val="both"/>
              <w:rPr>
                <w:rFonts w:cs="Times New Roman"/>
                <w:color w:val="000000" w:themeColor="text1"/>
                <w:sz w:val="22"/>
              </w:rPr>
            </w:pPr>
            <w:r w:rsidRPr="00E14DE7">
              <w:rPr>
                <w:rFonts w:cs="Times New Roman"/>
                <w:color w:val="000000" w:themeColor="text1"/>
                <w:sz w:val="22"/>
              </w:rPr>
              <w:t>Article 19, Clause 2</w:t>
            </w:r>
          </w:p>
          <w:p w14:paraId="0D6CAF48" w14:textId="0C27A9F7" w:rsidR="002374E9" w:rsidRPr="00E14DE7" w:rsidRDefault="0026549A" w:rsidP="00C301A3">
            <w:pPr>
              <w:jc w:val="both"/>
              <w:rPr>
                <w:rFonts w:cs="Times New Roman"/>
                <w:bCs/>
                <w:color w:val="000000"/>
                <w:sz w:val="22"/>
              </w:rPr>
            </w:pPr>
            <w:r w:rsidRPr="00E14DE7">
              <w:rPr>
                <w:rFonts w:cs="Times New Roman"/>
                <w:color w:val="000000" w:themeColor="text1"/>
                <w:sz w:val="22"/>
                <w:u w:val="single"/>
              </w:rPr>
              <w:lastRenderedPageBreak/>
              <w:t>h) Decide the transfer of investment projects or capital with a value not exceeding 50% of equity, or 50% of the owner’s investment capital where equity is lower than the owner’s investment capital. Equity and the owner’s investment capital shall be determined in accordance with Petrolimex’s most recent standalone quarterly or annual financial statements at the time of the transfer decision. The investment capital value shall be the higher of its book value and the expected transfer price to be obtained in accordance with Clause 4, Article 26 of the Decree No. 366/2025/N</w:t>
            </w:r>
            <w:r w:rsidR="0004272D" w:rsidRPr="00E14DE7">
              <w:rPr>
                <w:rFonts w:cs="Times New Roman"/>
                <w:color w:val="000000" w:themeColor="text1"/>
                <w:sz w:val="22"/>
                <w:u w:val="single"/>
              </w:rPr>
              <w:t>D</w:t>
            </w:r>
            <w:r w:rsidRPr="00E14DE7">
              <w:rPr>
                <w:rFonts w:cs="Times New Roman"/>
                <w:color w:val="000000" w:themeColor="text1"/>
                <w:sz w:val="22"/>
                <w:u w:val="single"/>
              </w:rPr>
              <w:t>-CP.</w:t>
            </w:r>
          </w:p>
        </w:tc>
        <w:tc>
          <w:tcPr>
            <w:tcW w:w="1033" w:type="pct"/>
          </w:tcPr>
          <w:p w14:paraId="1D8D1102" w14:textId="19659B5A" w:rsidR="002374E9" w:rsidRPr="00E14DE7" w:rsidRDefault="002374E9" w:rsidP="00C301A3">
            <w:pPr>
              <w:jc w:val="both"/>
              <w:rPr>
                <w:rFonts w:cs="Times New Roman"/>
                <w:color w:val="000000" w:themeColor="text1"/>
                <w:sz w:val="22"/>
              </w:rPr>
            </w:pPr>
            <w:r w:rsidRPr="00E14DE7">
              <w:rPr>
                <w:rFonts w:cs="Times New Roman"/>
                <w:color w:val="000000" w:themeColor="text1"/>
                <w:sz w:val="22"/>
              </w:rPr>
              <w:lastRenderedPageBreak/>
              <w:t xml:space="preserve">Supplemented contents are </w:t>
            </w:r>
            <w:r w:rsidRPr="00E14DE7">
              <w:rPr>
                <w:rFonts w:cs="Times New Roman"/>
                <w:color w:val="000000" w:themeColor="text1"/>
                <w:sz w:val="22"/>
              </w:rPr>
              <w:lastRenderedPageBreak/>
              <w:t>made to be well matched with the additional recommendations at Article 27, Clause 2, point h of the 2026 Draft Charter.</w:t>
            </w:r>
          </w:p>
        </w:tc>
      </w:tr>
      <w:tr w:rsidR="00C301A3" w:rsidRPr="00E14DE7" w14:paraId="78CF312B" w14:textId="77777777" w:rsidTr="00EB2EA0">
        <w:trPr>
          <w:trHeight w:val="20"/>
        </w:trPr>
        <w:tc>
          <w:tcPr>
            <w:tcW w:w="215" w:type="pct"/>
          </w:tcPr>
          <w:p w14:paraId="0FF8F124" w14:textId="77777777" w:rsidR="00560CC1" w:rsidRPr="00E14DE7" w:rsidRDefault="00560CC1" w:rsidP="00EB2EA0">
            <w:pPr>
              <w:pStyle w:val="ListParagraph"/>
              <w:numPr>
                <w:ilvl w:val="0"/>
                <w:numId w:val="37"/>
              </w:numPr>
              <w:jc w:val="center"/>
              <w:rPr>
                <w:rFonts w:cs="Times New Roman"/>
                <w:sz w:val="22"/>
              </w:rPr>
            </w:pPr>
          </w:p>
        </w:tc>
        <w:tc>
          <w:tcPr>
            <w:tcW w:w="574" w:type="pct"/>
          </w:tcPr>
          <w:p w14:paraId="5C47BC68" w14:textId="54F1E872" w:rsidR="00560CC1" w:rsidRPr="00E14DE7" w:rsidRDefault="00560CC1" w:rsidP="00C301A3">
            <w:pPr>
              <w:rPr>
                <w:rFonts w:cs="Times New Roman"/>
                <w:color w:val="000000" w:themeColor="text1"/>
                <w:sz w:val="22"/>
              </w:rPr>
            </w:pPr>
            <w:r w:rsidRPr="00E14DE7">
              <w:rPr>
                <w:rFonts w:cs="Times New Roman"/>
                <w:color w:val="000000" w:themeColor="text1"/>
                <w:sz w:val="22"/>
              </w:rPr>
              <w:t>Article 18, Clause 2, point h</w:t>
            </w:r>
          </w:p>
        </w:tc>
        <w:tc>
          <w:tcPr>
            <w:tcW w:w="1167" w:type="pct"/>
          </w:tcPr>
          <w:p w14:paraId="4713C2D0" w14:textId="1373D23B" w:rsidR="00560CC1" w:rsidRPr="00E14DE7" w:rsidRDefault="00931805" w:rsidP="00C301A3">
            <w:pPr>
              <w:jc w:val="both"/>
              <w:rPr>
                <w:rFonts w:cs="Times New Roman"/>
                <w:color w:val="000000" w:themeColor="text1"/>
                <w:sz w:val="22"/>
              </w:rPr>
            </w:pPr>
            <w:r w:rsidRPr="00E14DE7">
              <w:rPr>
                <w:rFonts w:cs="Times New Roman"/>
                <w:color w:val="000000"/>
                <w:sz w:val="22"/>
              </w:rPr>
              <w:t xml:space="preserve">h) Approve the sales contract, loan contract and other contracts and transactions having value from 35% of total asset value recorded in the latest financial statements of Petrolimex, excluding contracts, and transaction under the authority of the General Meeting of Shareholders as prescribed at </w:t>
            </w:r>
            <w:r w:rsidRPr="00E14DE7">
              <w:rPr>
                <w:rFonts w:cs="Times New Roman"/>
                <w:color w:val="000000"/>
                <w:sz w:val="22"/>
                <w:u w:val="single"/>
              </w:rPr>
              <w:t>point d, clause 2, Article 138</w:t>
            </w:r>
            <w:r w:rsidRPr="00E14DE7">
              <w:rPr>
                <w:rFonts w:cs="Times New Roman"/>
                <w:color w:val="000000"/>
                <w:sz w:val="22"/>
              </w:rPr>
              <w:t>, clauses 1 &amp; 3, Article 167 of the Law on Enterprises</w:t>
            </w:r>
          </w:p>
        </w:tc>
        <w:tc>
          <w:tcPr>
            <w:tcW w:w="2011" w:type="pct"/>
          </w:tcPr>
          <w:p w14:paraId="21DD7F79" w14:textId="630A954A" w:rsidR="00CA6E4C" w:rsidRPr="00E14DE7" w:rsidRDefault="00CA6E4C" w:rsidP="00C301A3">
            <w:pPr>
              <w:jc w:val="both"/>
              <w:rPr>
                <w:rFonts w:cs="Times New Roman"/>
                <w:bCs/>
                <w:color w:val="000000"/>
                <w:sz w:val="22"/>
              </w:rPr>
            </w:pPr>
            <w:r w:rsidRPr="00E14DE7">
              <w:rPr>
                <w:rFonts w:cs="Times New Roman"/>
                <w:color w:val="000000"/>
                <w:sz w:val="22"/>
              </w:rPr>
              <w:t>Article 19, Clause 2</w:t>
            </w:r>
          </w:p>
          <w:p w14:paraId="5C258804" w14:textId="70C422F4" w:rsidR="00560CC1" w:rsidRPr="00E14DE7" w:rsidRDefault="00342DF2" w:rsidP="00C301A3">
            <w:pPr>
              <w:jc w:val="both"/>
              <w:rPr>
                <w:rFonts w:cs="Times New Roman"/>
                <w:color w:val="000000" w:themeColor="text1"/>
                <w:sz w:val="22"/>
              </w:rPr>
            </w:pPr>
            <w:r w:rsidRPr="00E14DE7">
              <w:rPr>
                <w:rFonts w:cs="Times New Roman"/>
                <w:color w:val="000000"/>
                <w:sz w:val="22"/>
              </w:rPr>
              <w:t xml:space="preserve">k) Approve the sales contract, loan contract and other contracts and transactions having value from 35% of total asset value recorded in the latest financial statements of Petrolimex, excluding contracts and transactions under the authority of the General Meeting of Shareholders as prescribed at </w:t>
            </w:r>
            <w:r w:rsidRPr="00E14DE7">
              <w:rPr>
                <w:rFonts w:cs="Times New Roman"/>
                <w:color w:val="000000"/>
                <w:sz w:val="22"/>
                <w:u w:val="single"/>
              </w:rPr>
              <w:t>point d, clause 1, Article 7 of the Regulation</w:t>
            </w:r>
            <w:r w:rsidRPr="00E14DE7">
              <w:rPr>
                <w:rFonts w:cs="Times New Roman"/>
                <w:color w:val="000000"/>
                <w:sz w:val="22"/>
              </w:rPr>
              <w:t xml:space="preserve"> and clauses 1 &amp; 3, Article 167 of the Law on Enterprises</w:t>
            </w:r>
          </w:p>
        </w:tc>
        <w:tc>
          <w:tcPr>
            <w:tcW w:w="1033" w:type="pct"/>
          </w:tcPr>
          <w:p w14:paraId="26DFF538" w14:textId="2F7DE839" w:rsidR="00560CC1" w:rsidRPr="00E14DE7" w:rsidRDefault="00560CC1" w:rsidP="00C301A3">
            <w:pPr>
              <w:jc w:val="both"/>
              <w:rPr>
                <w:rFonts w:cs="Times New Roman"/>
                <w:color w:val="000000" w:themeColor="text1"/>
                <w:sz w:val="22"/>
              </w:rPr>
            </w:pPr>
            <w:r w:rsidRPr="00E14DE7">
              <w:rPr>
                <w:rFonts w:cs="Times New Roman"/>
                <w:color w:val="000000" w:themeColor="text1"/>
                <w:sz w:val="22"/>
              </w:rPr>
              <w:t xml:space="preserve">The amended contents are </w:t>
            </w:r>
            <w:r w:rsidRPr="00E14DE7">
              <w:rPr>
                <w:rFonts w:cs="Times New Roman"/>
                <w:color w:val="000000" w:themeColor="text1"/>
                <w:sz w:val="22"/>
                <w:u w:val="single"/>
              </w:rPr>
              <w:t>underlined</w:t>
            </w:r>
            <w:r w:rsidRPr="00E14DE7">
              <w:rPr>
                <w:rFonts w:cs="Times New Roman"/>
                <w:color w:val="000000" w:themeColor="text1"/>
                <w:sz w:val="22"/>
              </w:rPr>
              <w:t xml:space="preserve"> to be consistent with Article 27, clause 2, point k of the 2026 Draft Charter.</w:t>
            </w:r>
          </w:p>
        </w:tc>
      </w:tr>
      <w:tr w:rsidR="00C301A3" w:rsidRPr="00E14DE7" w14:paraId="0B829F46" w14:textId="77777777" w:rsidTr="00EB2EA0">
        <w:trPr>
          <w:trHeight w:val="20"/>
        </w:trPr>
        <w:tc>
          <w:tcPr>
            <w:tcW w:w="215" w:type="pct"/>
          </w:tcPr>
          <w:p w14:paraId="4FEA72E8" w14:textId="77777777" w:rsidR="00560CC1" w:rsidRPr="00E14DE7" w:rsidRDefault="00560CC1"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70471335" w14:textId="719AEE4B" w:rsidR="00560CC1" w:rsidRPr="00E14DE7" w:rsidRDefault="00560CC1" w:rsidP="00C301A3">
            <w:pPr>
              <w:widowControl w:val="0"/>
              <w:adjustRightInd w:val="0"/>
              <w:snapToGrid w:val="0"/>
              <w:spacing w:before="60" w:after="60"/>
              <w:rPr>
                <w:rFonts w:cs="Times New Roman"/>
                <w:color w:val="000000" w:themeColor="text1"/>
                <w:sz w:val="22"/>
              </w:rPr>
            </w:pPr>
            <w:r w:rsidRPr="00E14DE7">
              <w:rPr>
                <w:rFonts w:cs="Times New Roman"/>
                <w:color w:val="000000" w:themeColor="text1"/>
                <w:sz w:val="22"/>
              </w:rPr>
              <w:t>Article 18, Clause 2</w:t>
            </w:r>
          </w:p>
        </w:tc>
        <w:tc>
          <w:tcPr>
            <w:tcW w:w="1167" w:type="pct"/>
          </w:tcPr>
          <w:p w14:paraId="71B8CBCA" w14:textId="5A58AF22" w:rsidR="00560CC1" w:rsidRPr="00E14DE7" w:rsidRDefault="00560CC1" w:rsidP="00C301A3">
            <w:pPr>
              <w:widowControl w:val="0"/>
              <w:adjustRightInd w:val="0"/>
              <w:snapToGrid w:val="0"/>
              <w:spacing w:before="60" w:after="60"/>
              <w:jc w:val="both"/>
              <w:rPr>
                <w:rFonts w:cs="Times New Roman"/>
                <w:i/>
                <w:iCs/>
                <w:color w:val="000000" w:themeColor="text1"/>
                <w:sz w:val="22"/>
              </w:rPr>
            </w:pPr>
            <w:r w:rsidRPr="00E14DE7">
              <w:rPr>
                <w:rFonts w:cs="Times New Roman"/>
                <w:i/>
                <w:color w:val="000000" w:themeColor="text1"/>
                <w:sz w:val="22"/>
              </w:rPr>
              <w:t>Not specified</w:t>
            </w:r>
          </w:p>
        </w:tc>
        <w:tc>
          <w:tcPr>
            <w:tcW w:w="2011" w:type="pct"/>
          </w:tcPr>
          <w:p w14:paraId="159F44E2" w14:textId="007E6557" w:rsidR="00AA7B51" w:rsidRPr="00E14DE7" w:rsidRDefault="00AA7B51"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Article 19, Clause 2 (combine with point k at section 30 above)</w:t>
            </w:r>
          </w:p>
          <w:p w14:paraId="3B9F6980" w14:textId="77777777" w:rsidR="00AA7B51" w:rsidRPr="00E14DE7" w:rsidRDefault="00AA7B51" w:rsidP="00C301A3">
            <w:pPr>
              <w:widowControl w:val="0"/>
              <w:adjustRightInd w:val="0"/>
              <w:snapToGrid w:val="0"/>
              <w:spacing w:before="60" w:after="60"/>
              <w:jc w:val="both"/>
              <w:rPr>
                <w:rFonts w:cs="Times New Roman"/>
                <w:color w:val="000000" w:themeColor="text1"/>
                <w:sz w:val="22"/>
                <w:u w:val="single"/>
              </w:rPr>
            </w:pPr>
            <w:r w:rsidRPr="00E14DE7">
              <w:rPr>
                <w:rFonts w:cs="Times New Roman"/>
                <w:color w:val="000000" w:themeColor="text1"/>
                <w:sz w:val="22"/>
              </w:rPr>
              <w:t>k) […]</w:t>
            </w:r>
          </w:p>
          <w:p w14:paraId="6DE1534D" w14:textId="54025765" w:rsidR="00560CC1" w:rsidRPr="00E14DE7" w:rsidRDefault="00560CC1" w:rsidP="00C301A3">
            <w:pPr>
              <w:widowControl w:val="0"/>
              <w:adjustRightInd w:val="0"/>
              <w:snapToGrid w:val="0"/>
              <w:spacing w:before="60" w:after="60"/>
              <w:jc w:val="both"/>
              <w:rPr>
                <w:rFonts w:cs="Times New Roman"/>
                <w:color w:val="000000" w:themeColor="text1"/>
                <w:sz w:val="22"/>
                <w:u w:val="single"/>
              </w:rPr>
            </w:pPr>
            <w:r w:rsidRPr="00E14DE7">
              <w:rPr>
                <w:rFonts w:cs="Times New Roman"/>
                <w:color w:val="000000" w:themeColor="text1"/>
                <w:sz w:val="22"/>
                <w:u w:val="single"/>
              </w:rPr>
              <w:t xml:space="preserve">The Board of Management </w:t>
            </w:r>
            <w:r w:rsidR="00F622A3" w:rsidRPr="00E14DE7">
              <w:rPr>
                <w:rFonts w:cs="Times New Roman"/>
                <w:color w:val="000000" w:themeColor="text1"/>
                <w:sz w:val="22"/>
                <w:u w:val="single"/>
              </w:rPr>
              <w:t>approves</w:t>
            </w:r>
            <w:r w:rsidRPr="00E14DE7">
              <w:rPr>
                <w:rFonts w:cs="Times New Roman"/>
                <w:color w:val="000000" w:themeColor="text1"/>
                <w:sz w:val="22"/>
                <w:u w:val="single"/>
              </w:rPr>
              <w:t xml:space="preserve"> the contracts and transactions having value of less than 35% or transactions resulting in total transaction value within 12 months since the first transaction date, having value of less than 35% of total asset value recorded in the latest financial statements between the Company and one of following entities:</w:t>
            </w:r>
          </w:p>
          <w:p w14:paraId="7845941A" w14:textId="77F7A494" w:rsidR="00560CC1" w:rsidRPr="00E14DE7" w:rsidRDefault="00560CC1" w:rsidP="00C301A3">
            <w:pPr>
              <w:widowControl w:val="0"/>
              <w:adjustRightInd w:val="0"/>
              <w:snapToGrid w:val="0"/>
              <w:spacing w:before="60" w:after="60"/>
              <w:jc w:val="both"/>
              <w:rPr>
                <w:rFonts w:cs="Times New Roman"/>
                <w:color w:val="000000" w:themeColor="text1"/>
                <w:sz w:val="22"/>
                <w:u w:val="single"/>
              </w:rPr>
            </w:pPr>
            <w:r w:rsidRPr="00E14DE7">
              <w:rPr>
                <w:rFonts w:cs="Times New Roman"/>
                <w:color w:val="000000" w:themeColor="text1"/>
                <w:sz w:val="22"/>
                <w:u w:val="single"/>
              </w:rPr>
              <w:t xml:space="preserve">- The BOM members, Supervisors, General Director, other </w:t>
            </w:r>
            <w:r w:rsidRPr="00E14DE7">
              <w:rPr>
                <w:rFonts w:cs="Times New Roman"/>
                <w:color w:val="000000" w:themeColor="text1"/>
                <w:sz w:val="22"/>
                <w:u w:val="single"/>
              </w:rPr>
              <w:lastRenderedPageBreak/>
              <w:t>managers and their affiliated persons;</w:t>
            </w:r>
          </w:p>
          <w:p w14:paraId="204F8F46" w14:textId="124A8BE9" w:rsidR="00560CC1" w:rsidRPr="00E14DE7" w:rsidRDefault="00560CC1" w:rsidP="00C301A3">
            <w:pPr>
              <w:widowControl w:val="0"/>
              <w:adjustRightInd w:val="0"/>
              <w:snapToGrid w:val="0"/>
              <w:spacing w:before="60" w:after="60"/>
              <w:jc w:val="both"/>
              <w:rPr>
                <w:rFonts w:cs="Times New Roman"/>
                <w:color w:val="000000" w:themeColor="text1"/>
                <w:sz w:val="22"/>
                <w:u w:val="single"/>
              </w:rPr>
            </w:pPr>
            <w:r w:rsidRPr="00E14DE7">
              <w:rPr>
                <w:rFonts w:cs="Times New Roman"/>
                <w:color w:val="000000" w:themeColor="text1"/>
                <w:sz w:val="22"/>
                <w:u w:val="single"/>
              </w:rPr>
              <w:t>- Shareholders, the authorized representatives of the shareholders holding over 10% of total ordinary shares of Petrolimex and their affiliated persons;</w:t>
            </w:r>
          </w:p>
          <w:p w14:paraId="596F082E" w14:textId="50E62D9B" w:rsidR="00560CC1" w:rsidRPr="00E14DE7" w:rsidRDefault="00560CC1"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u w:val="single"/>
              </w:rPr>
              <w:t>- Enterprise related to the subjects specified at Clause 2, Article 164 of the Law on Enterprises.</w:t>
            </w:r>
          </w:p>
        </w:tc>
        <w:tc>
          <w:tcPr>
            <w:tcW w:w="1033" w:type="pct"/>
          </w:tcPr>
          <w:p w14:paraId="1399BA09" w14:textId="5FB49AB8" w:rsidR="00560CC1" w:rsidRPr="00E14DE7" w:rsidRDefault="00560CC1"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lastRenderedPageBreak/>
              <w:t xml:space="preserve">Amended contents are made to be well matched with the additional recommendations at Article 27, Clause 2, point k the 2026 Draft Charter. </w:t>
            </w:r>
          </w:p>
        </w:tc>
      </w:tr>
      <w:tr w:rsidR="00C301A3" w:rsidRPr="00E14DE7" w14:paraId="2F17F5B2" w14:textId="77777777" w:rsidTr="00EB2EA0">
        <w:trPr>
          <w:trHeight w:val="20"/>
        </w:trPr>
        <w:tc>
          <w:tcPr>
            <w:tcW w:w="215" w:type="pct"/>
          </w:tcPr>
          <w:p w14:paraId="508C61E4" w14:textId="77777777" w:rsidR="00560CC1" w:rsidRPr="00E14DE7" w:rsidRDefault="00560CC1"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349448A3" w14:textId="4FB05E2B" w:rsidR="00560CC1" w:rsidRPr="00E14DE7" w:rsidRDefault="00560CC1" w:rsidP="00C301A3">
            <w:pPr>
              <w:widowControl w:val="0"/>
              <w:adjustRightInd w:val="0"/>
              <w:snapToGrid w:val="0"/>
              <w:spacing w:before="60" w:after="60"/>
              <w:rPr>
                <w:rFonts w:cs="Times New Roman"/>
                <w:color w:val="000000" w:themeColor="text1"/>
                <w:sz w:val="22"/>
              </w:rPr>
            </w:pPr>
            <w:r w:rsidRPr="00E14DE7">
              <w:rPr>
                <w:rFonts w:cs="Times New Roman"/>
                <w:color w:val="000000" w:themeColor="text1"/>
                <w:sz w:val="22"/>
              </w:rPr>
              <w:t>Article 18, Clause 2, point p</w:t>
            </w:r>
          </w:p>
        </w:tc>
        <w:tc>
          <w:tcPr>
            <w:tcW w:w="1167" w:type="pct"/>
          </w:tcPr>
          <w:p w14:paraId="37B362C4" w14:textId="65AC50C5" w:rsidR="00560CC1" w:rsidRPr="00E14DE7" w:rsidRDefault="00CB171D" w:rsidP="00C301A3">
            <w:pPr>
              <w:widowControl w:val="0"/>
              <w:adjustRightInd w:val="0"/>
              <w:snapToGrid w:val="0"/>
              <w:spacing w:before="60" w:after="60"/>
              <w:jc w:val="both"/>
              <w:rPr>
                <w:rFonts w:cs="Times New Roman"/>
                <w:color w:val="000000"/>
                <w:sz w:val="22"/>
              </w:rPr>
            </w:pPr>
            <w:r w:rsidRPr="00E14DE7">
              <w:rPr>
                <w:rFonts w:cs="Times New Roman"/>
                <w:color w:val="000000" w:themeColor="text1"/>
                <w:sz w:val="22"/>
              </w:rPr>
              <w:t>p) Recommend Petrolimex reorganization, dissolution and requirements of bankruptcy.</w:t>
            </w:r>
          </w:p>
        </w:tc>
        <w:tc>
          <w:tcPr>
            <w:tcW w:w="2011" w:type="pct"/>
          </w:tcPr>
          <w:p w14:paraId="28D9DF2D" w14:textId="3E7581FA" w:rsidR="00D35C96" w:rsidRPr="00E14DE7" w:rsidRDefault="00D35C96"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Article 19, Clause 2</w:t>
            </w:r>
          </w:p>
          <w:p w14:paraId="77E0D2F7" w14:textId="2352F70B" w:rsidR="00560CC1" w:rsidRPr="00E14DE7" w:rsidRDefault="00D35C96" w:rsidP="00C301A3">
            <w:pPr>
              <w:widowControl w:val="0"/>
              <w:adjustRightInd w:val="0"/>
              <w:snapToGrid w:val="0"/>
              <w:spacing w:before="60" w:after="60"/>
              <w:jc w:val="both"/>
              <w:rPr>
                <w:rFonts w:cs="Times New Roman"/>
                <w:color w:val="000000"/>
                <w:sz w:val="22"/>
              </w:rPr>
            </w:pPr>
            <w:r w:rsidRPr="00E14DE7">
              <w:rPr>
                <w:rFonts w:cs="Times New Roman"/>
                <w:color w:val="000000" w:themeColor="text1"/>
                <w:sz w:val="22"/>
              </w:rPr>
              <w:t xml:space="preserve">r) Recommend Petrolimex reorganization and dissolution; requirements of application of </w:t>
            </w:r>
            <w:r w:rsidRPr="00E14DE7">
              <w:rPr>
                <w:rFonts w:cs="Times New Roman"/>
                <w:color w:val="000000" w:themeColor="text1"/>
                <w:sz w:val="22"/>
                <w:u w:val="single"/>
              </w:rPr>
              <w:t>Petrolimex recovery procedures as prescribed by the law on recovery and bankruptcy.</w:t>
            </w:r>
          </w:p>
        </w:tc>
        <w:tc>
          <w:tcPr>
            <w:tcW w:w="1033" w:type="pct"/>
          </w:tcPr>
          <w:p w14:paraId="070A3ECD" w14:textId="2EA07F34" w:rsidR="00560CC1" w:rsidRPr="00E14DE7" w:rsidRDefault="00560CC1" w:rsidP="00C301A3">
            <w:pPr>
              <w:widowControl w:val="0"/>
              <w:adjustRightInd w:val="0"/>
              <w:snapToGrid w:val="0"/>
              <w:spacing w:before="60" w:after="60"/>
              <w:jc w:val="both"/>
              <w:rPr>
                <w:rFonts w:cs="Times New Roman"/>
                <w:color w:val="000000" w:themeColor="text1"/>
                <w:sz w:val="22"/>
                <w:highlight w:val="yellow"/>
              </w:rPr>
            </w:pPr>
            <w:r w:rsidRPr="00E14DE7">
              <w:rPr>
                <w:rFonts w:cs="Times New Roman"/>
                <w:color w:val="000000" w:themeColor="text1"/>
                <w:sz w:val="22"/>
              </w:rPr>
              <w:t>The amended contents aim to be consistent with Article 27, clause 2, point r of the 2026 Draft Charter.</w:t>
            </w:r>
          </w:p>
        </w:tc>
      </w:tr>
      <w:tr w:rsidR="00C301A3" w:rsidRPr="00E14DE7" w14:paraId="690CB89A" w14:textId="77777777" w:rsidTr="00EB2EA0">
        <w:trPr>
          <w:trHeight w:val="20"/>
        </w:trPr>
        <w:tc>
          <w:tcPr>
            <w:tcW w:w="215" w:type="pct"/>
          </w:tcPr>
          <w:p w14:paraId="13452751" w14:textId="77777777" w:rsidR="00560CC1" w:rsidRPr="00E14DE7" w:rsidRDefault="00560CC1"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5F01FADB" w14:textId="2FE302F1" w:rsidR="00560CC1" w:rsidRPr="00E14DE7" w:rsidRDefault="00560CC1" w:rsidP="00C301A3">
            <w:pPr>
              <w:widowControl w:val="0"/>
              <w:adjustRightInd w:val="0"/>
              <w:snapToGrid w:val="0"/>
              <w:spacing w:before="60" w:after="60"/>
              <w:rPr>
                <w:rFonts w:cs="Times New Roman"/>
                <w:color w:val="000000" w:themeColor="text1"/>
                <w:sz w:val="22"/>
              </w:rPr>
            </w:pPr>
            <w:r w:rsidRPr="00E14DE7">
              <w:rPr>
                <w:rFonts w:cs="Times New Roman"/>
                <w:color w:val="000000" w:themeColor="text1"/>
                <w:sz w:val="22"/>
              </w:rPr>
              <w:t>Article 18, Clause 2, point s</w:t>
            </w:r>
          </w:p>
        </w:tc>
        <w:tc>
          <w:tcPr>
            <w:tcW w:w="1167" w:type="pct"/>
          </w:tcPr>
          <w:p w14:paraId="6A0198BF" w14:textId="13638C8C" w:rsidR="00560CC1" w:rsidRPr="00E14DE7" w:rsidRDefault="00560CC1"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s) Other rights and obligations as prescribed by the Law on Enterprises, Law on Securities, the provisions of the law and the internal regulations of Petrolimex.</w:t>
            </w:r>
          </w:p>
        </w:tc>
        <w:tc>
          <w:tcPr>
            <w:tcW w:w="2011" w:type="pct"/>
          </w:tcPr>
          <w:p w14:paraId="5BED95D2" w14:textId="77777777" w:rsidR="00257F32" w:rsidRPr="00E14DE7" w:rsidRDefault="00257F32" w:rsidP="00257F32">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Article 19, Clause 2</w:t>
            </w:r>
          </w:p>
          <w:p w14:paraId="5A4DB485" w14:textId="5E3CB91E" w:rsidR="00560CC1" w:rsidRPr="00E14DE7" w:rsidRDefault="00257F32" w:rsidP="00257F32">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 xml:space="preserve">t) Other rights and obligations as prescribed by the </w:t>
            </w:r>
            <w:r w:rsidRPr="00E14DE7">
              <w:rPr>
                <w:rFonts w:cs="Times New Roman"/>
                <w:color w:val="000000" w:themeColor="text1"/>
                <w:sz w:val="22"/>
                <w:u w:val="single"/>
              </w:rPr>
              <w:t>laws, the Petrolimex Charter and Operation Regulations of the Board of Management.</w:t>
            </w:r>
          </w:p>
        </w:tc>
        <w:tc>
          <w:tcPr>
            <w:tcW w:w="1033" w:type="pct"/>
          </w:tcPr>
          <w:p w14:paraId="72134A0D" w14:textId="63A91C74" w:rsidR="00560CC1" w:rsidRPr="00E14DE7" w:rsidRDefault="00560CC1"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Amended content aims to ensure brief and reference to the internal documents, directly governing this content.</w:t>
            </w:r>
          </w:p>
        </w:tc>
      </w:tr>
      <w:tr w:rsidR="00C301A3" w:rsidRPr="00E14DE7" w14:paraId="7FDB8A8C" w14:textId="77777777" w:rsidTr="00EB2EA0">
        <w:trPr>
          <w:trHeight w:val="20"/>
        </w:trPr>
        <w:tc>
          <w:tcPr>
            <w:tcW w:w="215" w:type="pct"/>
          </w:tcPr>
          <w:p w14:paraId="5D4CCA04" w14:textId="77777777" w:rsidR="00560CC1" w:rsidRPr="00E14DE7" w:rsidRDefault="00560CC1"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65EEE5D9" w14:textId="1BBD2548" w:rsidR="00560CC1" w:rsidRPr="00E14DE7" w:rsidRDefault="00560CC1" w:rsidP="00C301A3">
            <w:pPr>
              <w:widowControl w:val="0"/>
              <w:adjustRightInd w:val="0"/>
              <w:snapToGrid w:val="0"/>
              <w:spacing w:before="60" w:after="60"/>
              <w:rPr>
                <w:rFonts w:cs="Times New Roman"/>
                <w:color w:val="000000" w:themeColor="text1"/>
                <w:sz w:val="22"/>
              </w:rPr>
            </w:pPr>
            <w:r w:rsidRPr="00E14DE7">
              <w:rPr>
                <w:rFonts w:cs="Times New Roman"/>
                <w:color w:val="000000" w:themeColor="text1"/>
                <w:sz w:val="22"/>
              </w:rPr>
              <w:t>Article 18, Clause 3</w:t>
            </w:r>
          </w:p>
        </w:tc>
        <w:tc>
          <w:tcPr>
            <w:tcW w:w="1167" w:type="pct"/>
          </w:tcPr>
          <w:p w14:paraId="18F4B357" w14:textId="46FD7183" w:rsidR="00560CC1" w:rsidRPr="00E14DE7" w:rsidRDefault="00257F32" w:rsidP="00C301A3">
            <w:pPr>
              <w:widowControl w:val="0"/>
              <w:adjustRightInd w:val="0"/>
              <w:snapToGrid w:val="0"/>
              <w:spacing w:before="60" w:after="60"/>
              <w:jc w:val="both"/>
              <w:rPr>
                <w:rFonts w:cs="Times New Roman"/>
                <w:bCs/>
                <w:color w:val="000000"/>
                <w:sz w:val="22"/>
              </w:rPr>
            </w:pPr>
            <w:r w:rsidRPr="00E14DE7">
              <w:rPr>
                <w:rFonts w:cs="Times New Roman"/>
                <w:color w:val="000000" w:themeColor="text1"/>
                <w:sz w:val="22"/>
              </w:rPr>
              <w:t>3. The Board of Management shall report the General Meeting of Shareholders about their operation results as prescribed at Article 280 of the Decree No. 155/2020/N</w:t>
            </w:r>
            <w:r w:rsidR="0004272D" w:rsidRPr="00E14DE7">
              <w:rPr>
                <w:rFonts w:cs="Times New Roman"/>
                <w:color w:val="000000" w:themeColor="text1"/>
                <w:sz w:val="22"/>
              </w:rPr>
              <w:t>D</w:t>
            </w:r>
            <w:r w:rsidRPr="00E14DE7">
              <w:rPr>
                <w:rFonts w:cs="Times New Roman"/>
                <w:color w:val="000000" w:themeColor="text1"/>
                <w:sz w:val="22"/>
              </w:rPr>
              <w:t>-CP of the Government dated December 31, 2020 on detailing the implementation of a number of Articles of the Law on Securities.</w:t>
            </w:r>
          </w:p>
        </w:tc>
        <w:tc>
          <w:tcPr>
            <w:tcW w:w="2011" w:type="pct"/>
          </w:tcPr>
          <w:p w14:paraId="4293A354" w14:textId="16803AB7" w:rsidR="00257F32" w:rsidRPr="00E14DE7" w:rsidRDefault="00257F32" w:rsidP="00257F32">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Article 19</w:t>
            </w:r>
          </w:p>
          <w:p w14:paraId="7E90CD98" w14:textId="715FEC94" w:rsidR="00560CC1" w:rsidRPr="00E14DE7" w:rsidRDefault="00257F32" w:rsidP="00257F32">
            <w:pPr>
              <w:widowControl w:val="0"/>
              <w:adjustRightInd w:val="0"/>
              <w:snapToGrid w:val="0"/>
              <w:spacing w:before="60" w:after="60"/>
              <w:jc w:val="both"/>
              <w:rPr>
                <w:rFonts w:cs="Times New Roman"/>
                <w:bCs/>
                <w:color w:val="000000"/>
                <w:sz w:val="22"/>
              </w:rPr>
            </w:pPr>
            <w:r w:rsidRPr="00E14DE7">
              <w:rPr>
                <w:rFonts w:cs="Times New Roman"/>
                <w:color w:val="000000" w:themeColor="text1"/>
                <w:sz w:val="22"/>
              </w:rPr>
              <w:t>3. The Board of Management shall report the General Meeting of Shareholders about their operation results as prescribed at Article 280 of the Decree No. 155/2020/N</w:t>
            </w:r>
            <w:r w:rsidR="0004272D" w:rsidRPr="00E14DE7">
              <w:rPr>
                <w:rFonts w:cs="Times New Roman"/>
                <w:color w:val="000000" w:themeColor="text1"/>
                <w:sz w:val="22"/>
              </w:rPr>
              <w:t>D</w:t>
            </w:r>
            <w:r w:rsidRPr="00E14DE7">
              <w:rPr>
                <w:rFonts w:cs="Times New Roman"/>
                <w:color w:val="000000" w:themeColor="text1"/>
                <w:sz w:val="22"/>
              </w:rPr>
              <w:t>-CP of the Government dated December 31, 2020 on detailing the implementation of a number of Articles of the Law on Securities and its amendment and supplement, replacement (if any) from time to time;</w:t>
            </w:r>
          </w:p>
        </w:tc>
        <w:tc>
          <w:tcPr>
            <w:tcW w:w="1033" w:type="pct"/>
          </w:tcPr>
          <w:p w14:paraId="142C3AE1" w14:textId="0DDA49D4" w:rsidR="00560CC1" w:rsidRPr="00E14DE7" w:rsidRDefault="00560CC1"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The amended contents aim to ensure the regulation's stability by automatically referring to future changes in the laws.</w:t>
            </w:r>
          </w:p>
        </w:tc>
      </w:tr>
      <w:tr w:rsidR="00C301A3" w:rsidRPr="00E14DE7" w14:paraId="15BB5F10" w14:textId="77777777" w:rsidTr="00EB2EA0">
        <w:trPr>
          <w:trHeight w:val="20"/>
        </w:trPr>
        <w:tc>
          <w:tcPr>
            <w:tcW w:w="215" w:type="pct"/>
          </w:tcPr>
          <w:p w14:paraId="17821841" w14:textId="77777777" w:rsidR="00882BD9" w:rsidRPr="00E14DE7" w:rsidRDefault="00882BD9"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74E9335B" w14:textId="22A2496B" w:rsidR="00882BD9" w:rsidRPr="00E14DE7" w:rsidRDefault="00882BD9" w:rsidP="00C301A3">
            <w:pPr>
              <w:widowControl w:val="0"/>
              <w:adjustRightInd w:val="0"/>
              <w:snapToGrid w:val="0"/>
              <w:spacing w:before="60" w:after="60"/>
              <w:rPr>
                <w:rFonts w:cs="Times New Roman"/>
                <w:color w:val="000000" w:themeColor="text1"/>
                <w:sz w:val="22"/>
              </w:rPr>
            </w:pPr>
            <w:r w:rsidRPr="00E14DE7">
              <w:rPr>
                <w:rFonts w:cs="Times New Roman"/>
                <w:color w:val="000000" w:themeColor="text1"/>
                <w:sz w:val="22"/>
              </w:rPr>
              <w:t>Article 19, Clause 2</w:t>
            </w:r>
          </w:p>
        </w:tc>
        <w:tc>
          <w:tcPr>
            <w:tcW w:w="1167" w:type="pct"/>
          </w:tcPr>
          <w:p w14:paraId="31640E50" w14:textId="43F34D44" w:rsidR="00882BD9" w:rsidRPr="00E14DE7" w:rsidRDefault="00257F32"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 xml:space="preserve">2. Term of office of the Board of Management is 5 years. The term of the members of the Board of Management shall be five (5) years and members of </w:t>
            </w:r>
            <w:r w:rsidRPr="00E14DE7">
              <w:rPr>
                <w:rFonts w:cs="Times New Roman"/>
                <w:color w:val="000000" w:themeColor="text1"/>
                <w:sz w:val="22"/>
              </w:rPr>
              <w:lastRenderedPageBreak/>
              <w:t>the Board of Management may be re-elected for unlimited number of terms. Each individual is only elected as independent member of the BOM of Petrolimex not exceeding 2 consecutive terms. In case all the members of the Board of Management have their terms ended, the above mentioned members shall remain to be members of the Board of Management until the new members shall be elected for replacement and for taking over the works.</w:t>
            </w:r>
          </w:p>
        </w:tc>
        <w:tc>
          <w:tcPr>
            <w:tcW w:w="2011" w:type="pct"/>
          </w:tcPr>
          <w:p w14:paraId="3FBCCA14" w14:textId="77777777" w:rsidR="00257F32" w:rsidRPr="00E14DE7" w:rsidRDefault="00257F32" w:rsidP="00C301A3">
            <w:pPr>
              <w:widowControl w:val="0"/>
              <w:adjustRightInd w:val="0"/>
              <w:snapToGrid w:val="0"/>
              <w:spacing w:before="60" w:after="60"/>
              <w:jc w:val="both"/>
              <w:rPr>
                <w:rFonts w:cs="Times New Roman"/>
                <w:bCs/>
                <w:color w:val="000000" w:themeColor="text1"/>
                <w:sz w:val="22"/>
              </w:rPr>
            </w:pPr>
            <w:r w:rsidRPr="00E14DE7">
              <w:rPr>
                <w:rFonts w:cs="Times New Roman"/>
                <w:color w:val="000000" w:themeColor="text1"/>
                <w:sz w:val="22"/>
              </w:rPr>
              <w:lastRenderedPageBreak/>
              <w:t>Article 20</w:t>
            </w:r>
          </w:p>
          <w:p w14:paraId="6685EE66" w14:textId="761FDC66" w:rsidR="00882BD9" w:rsidRPr="00E14DE7" w:rsidRDefault="00257F32"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2.</w:t>
            </w:r>
            <w:r w:rsidRPr="00E14DE7">
              <w:rPr>
                <w:rFonts w:cs="Times New Roman"/>
                <w:strike/>
                <w:color w:val="000000" w:themeColor="text1"/>
                <w:sz w:val="22"/>
              </w:rPr>
              <w:t xml:space="preserve"> Term of office of the Board of Management is 5 years.</w:t>
            </w:r>
            <w:r w:rsidRPr="00E14DE7">
              <w:rPr>
                <w:rFonts w:cs="Times New Roman"/>
                <w:color w:val="000000" w:themeColor="text1"/>
                <w:sz w:val="22"/>
              </w:rPr>
              <w:t xml:space="preserve"> The term of the members of the Board of Management shall be five (5) years and members of the Board of </w:t>
            </w:r>
            <w:r w:rsidRPr="00E14DE7">
              <w:rPr>
                <w:rFonts w:cs="Times New Roman"/>
                <w:color w:val="000000" w:themeColor="text1"/>
                <w:sz w:val="22"/>
              </w:rPr>
              <w:lastRenderedPageBreak/>
              <w:t>Management may be re-elected for unlimited number of terms. Each individual is only elected as independent member of the BOM of Petrolimex not exceeding 2 consecutive terms. In case all the members of the Board of Management have their terms ended, the above mentioned members shall remain to be members of the Board of Management until the new members shall be elected for replacement and for taking over the works.</w:t>
            </w:r>
          </w:p>
        </w:tc>
        <w:tc>
          <w:tcPr>
            <w:tcW w:w="1033" w:type="pct"/>
          </w:tcPr>
          <w:p w14:paraId="3B17A901" w14:textId="16B77153" w:rsidR="00882BD9" w:rsidRPr="00E14DE7" w:rsidRDefault="00882BD9"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lastRenderedPageBreak/>
              <w:t>Delete the contents due to non-compliance with the Law on Enterprises.</w:t>
            </w:r>
          </w:p>
        </w:tc>
      </w:tr>
      <w:tr w:rsidR="00C301A3" w:rsidRPr="00E14DE7" w14:paraId="055466A4" w14:textId="77777777" w:rsidTr="00EB2EA0">
        <w:trPr>
          <w:trHeight w:val="20"/>
        </w:trPr>
        <w:tc>
          <w:tcPr>
            <w:tcW w:w="215" w:type="pct"/>
          </w:tcPr>
          <w:p w14:paraId="078AAFB5" w14:textId="77777777" w:rsidR="00882BD9" w:rsidRPr="00E14DE7" w:rsidRDefault="00882BD9"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6E8378E2" w14:textId="55D3FD28" w:rsidR="00882BD9" w:rsidRPr="00E14DE7" w:rsidRDefault="00882BD9" w:rsidP="00C301A3">
            <w:pPr>
              <w:widowControl w:val="0"/>
              <w:adjustRightInd w:val="0"/>
              <w:snapToGrid w:val="0"/>
              <w:spacing w:before="60" w:after="60"/>
              <w:rPr>
                <w:rFonts w:cs="Times New Roman"/>
                <w:color w:val="000000" w:themeColor="text1"/>
                <w:sz w:val="22"/>
              </w:rPr>
            </w:pPr>
            <w:r w:rsidRPr="00E14DE7">
              <w:rPr>
                <w:rFonts w:cs="Times New Roman"/>
                <w:color w:val="000000" w:themeColor="text1"/>
                <w:sz w:val="22"/>
              </w:rPr>
              <w:t>Article 19, Clauses 3, 4 &amp; 5</w:t>
            </w:r>
          </w:p>
        </w:tc>
        <w:tc>
          <w:tcPr>
            <w:tcW w:w="1167" w:type="pct"/>
          </w:tcPr>
          <w:p w14:paraId="5EDC3EDE" w14:textId="77777777" w:rsidR="00882BD9" w:rsidRPr="00E14DE7" w:rsidRDefault="00882BD9"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3. The structure of the member of the Board is described as follows:</w:t>
            </w:r>
          </w:p>
          <w:p w14:paraId="4264A383" w14:textId="77777777" w:rsidR="00882BD9" w:rsidRPr="00E14DE7" w:rsidRDefault="00882BD9"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a) The structure of the Board of Management must ensure at least 1/3 total members of the BOM.</w:t>
            </w:r>
          </w:p>
          <w:p w14:paraId="29E1C2C4" w14:textId="77777777" w:rsidR="00882BD9" w:rsidRPr="00E14DE7" w:rsidRDefault="00882BD9"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b) The independent member of Board of Management in accordance with the laws and the practices of Petrolimex.</w:t>
            </w:r>
          </w:p>
          <w:p w14:paraId="54F99B70" w14:textId="77777777" w:rsidR="00882BD9" w:rsidRPr="00E14DE7" w:rsidRDefault="00882BD9"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4. Any member of the Board of Management shall be disqualified from being the member of the Board of Management in the following cases:</w:t>
            </w:r>
          </w:p>
          <w:p w14:paraId="06CD0769" w14:textId="77777777" w:rsidR="00882BD9" w:rsidRPr="00E14DE7" w:rsidRDefault="00882BD9"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 xml:space="preserve">a) Not be eligible for criteria and conditions as prescribed in </w:t>
            </w:r>
            <w:r w:rsidRPr="00E14DE7">
              <w:rPr>
                <w:rFonts w:cs="Times New Roman"/>
                <w:color w:val="000000" w:themeColor="text1"/>
                <w:sz w:val="22"/>
              </w:rPr>
              <w:lastRenderedPageBreak/>
              <w:t>Article 155 of the Law on Enterprises;</w:t>
            </w:r>
          </w:p>
          <w:p w14:paraId="02A1F3F5" w14:textId="77777777" w:rsidR="00882BD9" w:rsidRPr="00E14DE7" w:rsidRDefault="00882BD9"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b) Submit the letter of resignation and obtain the approval for resignation;</w:t>
            </w:r>
          </w:p>
          <w:p w14:paraId="1A090B4B" w14:textId="77777777" w:rsidR="00882BD9" w:rsidRPr="00E14DE7" w:rsidRDefault="00882BD9"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c) Provide incorrect personal information to Petrolimex as candidate to the Board of Management</w:t>
            </w:r>
          </w:p>
          <w:p w14:paraId="5231BE56" w14:textId="77777777" w:rsidR="007D2826" w:rsidRPr="00E14DE7" w:rsidRDefault="007D2826" w:rsidP="007D2826">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d) Change the representative as recommended by the shareholders or group of shareholders.</w:t>
            </w:r>
          </w:p>
          <w:p w14:paraId="1E5AD64C" w14:textId="77777777" w:rsidR="007D2826" w:rsidRPr="00E14DE7" w:rsidRDefault="007D2826" w:rsidP="007D2826">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dd) Other cases as prescribed by the laws and the resolutions of the General Meeting of Shareholders.</w:t>
            </w:r>
          </w:p>
          <w:p w14:paraId="0155B3F1" w14:textId="77777777" w:rsidR="00290454" w:rsidRPr="00E14DE7" w:rsidRDefault="00290454" w:rsidP="00290454">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5. Any member of the Board of Management shall be disqualified from being the member of the Board of Management in the following cases:</w:t>
            </w:r>
          </w:p>
          <w:p w14:paraId="4FE4C4B2" w14:textId="77777777" w:rsidR="00290454" w:rsidRPr="00E14DE7" w:rsidRDefault="00290454" w:rsidP="00290454">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a) Not involve in the activities launched by BOM within 06 consecutive months, except for the Force Majeure events;</w:t>
            </w:r>
          </w:p>
          <w:p w14:paraId="165AB796" w14:textId="77777777" w:rsidR="00290454" w:rsidRPr="00E14DE7" w:rsidRDefault="00290454" w:rsidP="00290454">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b) Fail to fulfill the assigned tasks and duties;</w:t>
            </w:r>
          </w:p>
          <w:p w14:paraId="44C176E7" w14:textId="3141A90B" w:rsidR="00290454" w:rsidRPr="00E14DE7" w:rsidRDefault="00290454" w:rsidP="00290454">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c) Other cases as prescribed by the laws and the Charter</w:t>
            </w:r>
          </w:p>
        </w:tc>
        <w:tc>
          <w:tcPr>
            <w:tcW w:w="2011" w:type="pct"/>
          </w:tcPr>
          <w:p w14:paraId="3629B42D" w14:textId="0EF258BF" w:rsidR="00257F32" w:rsidRPr="00E14DE7" w:rsidRDefault="00257F32"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lastRenderedPageBreak/>
              <w:t>Article 20</w:t>
            </w:r>
          </w:p>
          <w:p w14:paraId="114268FC" w14:textId="45F07E4A" w:rsidR="00882BD9" w:rsidRPr="00E14DE7" w:rsidRDefault="00882BD9"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3. The structure of the member of the Board is described as follows:</w:t>
            </w:r>
          </w:p>
          <w:p w14:paraId="554DD86E" w14:textId="1625C405" w:rsidR="00384A88" w:rsidRPr="00E14DE7" w:rsidRDefault="00384A88" w:rsidP="00C301A3">
            <w:pPr>
              <w:widowControl w:val="0"/>
              <w:adjustRightInd w:val="0"/>
              <w:snapToGrid w:val="0"/>
              <w:spacing w:before="60" w:after="60"/>
              <w:jc w:val="both"/>
              <w:rPr>
                <w:rFonts w:cs="Times New Roman"/>
                <w:color w:val="000000"/>
                <w:sz w:val="22"/>
                <w:u w:val="single"/>
              </w:rPr>
            </w:pPr>
            <w:r w:rsidRPr="00E14DE7">
              <w:rPr>
                <w:rFonts w:cs="Times New Roman"/>
                <w:color w:val="000000"/>
                <w:sz w:val="22"/>
              </w:rPr>
              <w:t xml:space="preserve">a) Guaranteed minimal number of non-executive members of Board of Management as prescribed in the Decree </w:t>
            </w:r>
            <w:r w:rsidRPr="00E14DE7">
              <w:rPr>
                <w:rFonts w:cs="Times New Roman"/>
                <w:color w:val="000000"/>
                <w:sz w:val="22"/>
                <w:u w:val="single"/>
              </w:rPr>
              <w:t>No. 245/2025/N</w:t>
            </w:r>
            <w:r w:rsidR="0004272D" w:rsidRPr="00E14DE7">
              <w:rPr>
                <w:rFonts w:cs="Times New Roman"/>
                <w:color w:val="000000"/>
                <w:sz w:val="22"/>
                <w:u w:val="single"/>
              </w:rPr>
              <w:t>D</w:t>
            </w:r>
            <w:r w:rsidRPr="00E14DE7">
              <w:rPr>
                <w:rFonts w:cs="Times New Roman"/>
                <w:color w:val="000000"/>
                <w:sz w:val="22"/>
                <w:u w:val="single"/>
              </w:rPr>
              <w:t>-CP.</w:t>
            </w:r>
          </w:p>
          <w:p w14:paraId="4CFB5F0C" w14:textId="58DF71AB" w:rsidR="00882BD9" w:rsidRPr="00E14DE7" w:rsidRDefault="00882BD9" w:rsidP="00C301A3">
            <w:pPr>
              <w:widowControl w:val="0"/>
              <w:adjustRightInd w:val="0"/>
              <w:snapToGrid w:val="0"/>
              <w:spacing w:before="60" w:after="60"/>
              <w:jc w:val="both"/>
              <w:rPr>
                <w:rFonts w:cs="Times New Roman"/>
                <w:i/>
                <w:color w:val="000000"/>
                <w:sz w:val="22"/>
              </w:rPr>
            </w:pPr>
            <w:r w:rsidRPr="00E14DE7">
              <w:rPr>
                <w:rFonts w:cs="Times New Roman"/>
                <w:color w:val="000000"/>
                <w:sz w:val="22"/>
              </w:rPr>
              <w:t>b) The independent member of Board of Management in accordance with the laws and the practices of Petrolimex.</w:t>
            </w:r>
          </w:p>
        </w:tc>
        <w:tc>
          <w:tcPr>
            <w:tcW w:w="1033" w:type="pct"/>
          </w:tcPr>
          <w:p w14:paraId="0B6D22C6" w14:textId="5848B8AF" w:rsidR="00882BD9" w:rsidRPr="00E14DE7" w:rsidRDefault="00882BD9"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 xml:space="preserve">Amended contents are made to be well matched with the additional recommendations at Article 26, Clause 3 of the 2026 Draft Charter. </w:t>
            </w:r>
          </w:p>
          <w:p w14:paraId="627A351C" w14:textId="5EE4C504" w:rsidR="00F26EBD" w:rsidRPr="00E14DE7" w:rsidRDefault="00F26EB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Remove Article 19, Clauses 4 &amp; 5 of the Regulation 218 as it has been specified at Article 26, clauses 1 &amp; 2 of the Draft Regulation (separate regulations on dismissal and removal of members of the Board of Management).</w:t>
            </w:r>
          </w:p>
        </w:tc>
      </w:tr>
      <w:tr w:rsidR="00C301A3" w:rsidRPr="00E14DE7" w14:paraId="43D31C7C" w14:textId="77777777" w:rsidTr="00EB2EA0">
        <w:trPr>
          <w:trHeight w:val="20"/>
        </w:trPr>
        <w:tc>
          <w:tcPr>
            <w:tcW w:w="215" w:type="pct"/>
          </w:tcPr>
          <w:p w14:paraId="34A62784" w14:textId="77777777" w:rsidR="00882BD9" w:rsidRPr="00E14DE7" w:rsidRDefault="00882BD9"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6546BF9A" w14:textId="29707FCD" w:rsidR="00882BD9" w:rsidRPr="00E14DE7" w:rsidRDefault="00882BD9" w:rsidP="00C301A3">
            <w:pPr>
              <w:widowControl w:val="0"/>
              <w:adjustRightInd w:val="0"/>
              <w:snapToGrid w:val="0"/>
              <w:spacing w:before="60" w:after="60"/>
              <w:rPr>
                <w:rFonts w:cs="Times New Roman"/>
                <w:color w:val="000000" w:themeColor="text1"/>
                <w:sz w:val="22"/>
              </w:rPr>
            </w:pPr>
            <w:r w:rsidRPr="00E14DE7">
              <w:rPr>
                <w:rFonts w:cs="Times New Roman"/>
                <w:color w:val="000000" w:themeColor="text1"/>
                <w:sz w:val="22"/>
              </w:rPr>
              <w:t>Article 19, Clause 9</w:t>
            </w:r>
          </w:p>
        </w:tc>
        <w:tc>
          <w:tcPr>
            <w:tcW w:w="1167" w:type="pct"/>
          </w:tcPr>
          <w:p w14:paraId="6631702D" w14:textId="030287F6" w:rsidR="00882BD9" w:rsidRPr="00E14DE7" w:rsidRDefault="00395293" w:rsidP="00C301A3">
            <w:pPr>
              <w:widowControl w:val="0"/>
              <w:adjustRightInd w:val="0"/>
              <w:snapToGrid w:val="0"/>
              <w:spacing w:before="60" w:after="60"/>
              <w:jc w:val="both"/>
              <w:rPr>
                <w:rFonts w:cs="Times New Roman"/>
                <w:bCs/>
                <w:color w:val="000000"/>
                <w:sz w:val="22"/>
              </w:rPr>
            </w:pPr>
            <w:r w:rsidRPr="00E14DE7">
              <w:rPr>
                <w:rFonts w:cs="Times New Roman"/>
                <w:color w:val="000000" w:themeColor="text1"/>
                <w:sz w:val="22"/>
              </w:rPr>
              <w:t xml:space="preserve">9. Members of the Board of Management are not necessarily </w:t>
            </w:r>
            <w:r w:rsidRPr="00E14DE7">
              <w:rPr>
                <w:rFonts w:cs="Times New Roman"/>
                <w:color w:val="000000" w:themeColor="text1"/>
                <w:sz w:val="22"/>
              </w:rPr>
              <w:lastRenderedPageBreak/>
              <w:t>Petrolimex shareholders.</w:t>
            </w:r>
          </w:p>
        </w:tc>
        <w:tc>
          <w:tcPr>
            <w:tcW w:w="2011" w:type="pct"/>
          </w:tcPr>
          <w:p w14:paraId="11A96A82" w14:textId="452A07C2" w:rsidR="00882BD9" w:rsidRPr="00E14DE7" w:rsidRDefault="00882BD9" w:rsidP="00C301A3">
            <w:pPr>
              <w:widowControl w:val="0"/>
              <w:adjustRightInd w:val="0"/>
              <w:snapToGrid w:val="0"/>
              <w:spacing w:before="60" w:after="60"/>
              <w:jc w:val="both"/>
              <w:rPr>
                <w:rFonts w:cs="Times New Roman"/>
                <w:bCs/>
                <w:i/>
                <w:iCs/>
                <w:color w:val="000000"/>
                <w:sz w:val="22"/>
              </w:rPr>
            </w:pPr>
            <w:r w:rsidRPr="00E14DE7">
              <w:rPr>
                <w:rFonts w:cs="Times New Roman"/>
                <w:i/>
                <w:color w:val="000000"/>
                <w:sz w:val="22"/>
              </w:rPr>
              <w:lastRenderedPageBreak/>
              <w:t>Remove Article 19 Clause 9 of the Regulation 218.</w:t>
            </w:r>
          </w:p>
        </w:tc>
        <w:tc>
          <w:tcPr>
            <w:tcW w:w="1033" w:type="pct"/>
          </w:tcPr>
          <w:p w14:paraId="2B67AFE1" w14:textId="78DFB041" w:rsidR="00882BD9" w:rsidRPr="00E14DE7" w:rsidRDefault="00882BD9"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 xml:space="preserve">The contents are recommended to avoid </w:t>
            </w:r>
            <w:r w:rsidRPr="00E14DE7">
              <w:rPr>
                <w:rFonts w:cs="Times New Roman"/>
                <w:color w:val="000000" w:themeColor="text1"/>
                <w:sz w:val="22"/>
              </w:rPr>
              <w:lastRenderedPageBreak/>
              <w:t>repeating with Article 23, Clause 1, point b of the Draft Regulation.</w:t>
            </w:r>
          </w:p>
        </w:tc>
      </w:tr>
      <w:tr w:rsidR="00C301A3" w:rsidRPr="00E14DE7" w14:paraId="1116F8AE" w14:textId="77777777" w:rsidTr="00EB2EA0">
        <w:trPr>
          <w:trHeight w:val="20"/>
        </w:trPr>
        <w:tc>
          <w:tcPr>
            <w:tcW w:w="215" w:type="pct"/>
          </w:tcPr>
          <w:p w14:paraId="367CEFF2" w14:textId="77777777" w:rsidR="00882BD9" w:rsidRPr="00E14DE7" w:rsidRDefault="00882BD9"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720DE882" w14:textId="54AB8E69" w:rsidR="00882BD9" w:rsidRPr="00E14DE7" w:rsidRDefault="00882BD9" w:rsidP="00C301A3">
            <w:pPr>
              <w:widowControl w:val="0"/>
              <w:adjustRightInd w:val="0"/>
              <w:snapToGrid w:val="0"/>
              <w:spacing w:before="60" w:after="60"/>
              <w:rPr>
                <w:rFonts w:cs="Times New Roman"/>
                <w:color w:val="000000" w:themeColor="text1"/>
                <w:sz w:val="22"/>
              </w:rPr>
            </w:pPr>
            <w:r w:rsidRPr="00E14DE7">
              <w:rPr>
                <w:rFonts w:cs="Times New Roman"/>
                <w:color w:val="000000" w:themeColor="text1"/>
                <w:sz w:val="22"/>
              </w:rPr>
              <w:t>Article 20</w:t>
            </w:r>
          </w:p>
        </w:tc>
        <w:tc>
          <w:tcPr>
            <w:tcW w:w="1167" w:type="pct"/>
          </w:tcPr>
          <w:p w14:paraId="1A9DBC03" w14:textId="14701FEC" w:rsidR="00882BD9" w:rsidRPr="00E14DE7" w:rsidRDefault="00882BD9" w:rsidP="00C301A3">
            <w:pPr>
              <w:widowControl w:val="0"/>
              <w:adjustRightInd w:val="0"/>
              <w:snapToGrid w:val="0"/>
              <w:spacing w:before="60" w:after="60"/>
              <w:jc w:val="both"/>
              <w:rPr>
                <w:rFonts w:cs="Times New Roman"/>
                <w:bCs/>
                <w:i/>
                <w:iCs/>
                <w:color w:val="000000"/>
                <w:sz w:val="22"/>
              </w:rPr>
            </w:pPr>
            <w:r w:rsidRPr="00E14DE7">
              <w:rPr>
                <w:rFonts w:cs="Times New Roman"/>
                <w:i/>
                <w:color w:val="000000"/>
                <w:sz w:val="22"/>
              </w:rPr>
              <w:t>Not specified</w:t>
            </w:r>
          </w:p>
        </w:tc>
        <w:tc>
          <w:tcPr>
            <w:tcW w:w="2011" w:type="pct"/>
          </w:tcPr>
          <w:p w14:paraId="047DFE62" w14:textId="697BA548" w:rsidR="006C580E" w:rsidRPr="00E14DE7" w:rsidRDefault="006C580E" w:rsidP="00C301A3">
            <w:pPr>
              <w:widowControl w:val="0"/>
              <w:adjustRightInd w:val="0"/>
              <w:snapToGrid w:val="0"/>
              <w:spacing w:before="60" w:after="60"/>
              <w:jc w:val="both"/>
              <w:rPr>
                <w:rFonts w:cs="Times New Roman"/>
                <w:bCs/>
                <w:color w:val="000000"/>
                <w:sz w:val="22"/>
                <w:u w:val="single"/>
              </w:rPr>
            </w:pPr>
            <w:r w:rsidRPr="00E14DE7">
              <w:rPr>
                <w:rFonts w:cs="Times New Roman"/>
                <w:color w:val="000000"/>
                <w:sz w:val="22"/>
                <w:u w:val="single"/>
              </w:rPr>
              <w:t>Article 21</w:t>
            </w:r>
          </w:p>
          <w:p w14:paraId="30429170" w14:textId="796BAA84" w:rsidR="00882BD9" w:rsidRPr="00E14DE7" w:rsidRDefault="00882BD9" w:rsidP="00C301A3">
            <w:pPr>
              <w:widowControl w:val="0"/>
              <w:adjustRightInd w:val="0"/>
              <w:snapToGrid w:val="0"/>
              <w:spacing w:before="60" w:after="60"/>
              <w:jc w:val="both"/>
              <w:rPr>
                <w:rFonts w:cs="Times New Roman"/>
                <w:bCs/>
                <w:color w:val="000000"/>
                <w:sz w:val="22"/>
                <w:u w:val="single"/>
              </w:rPr>
            </w:pPr>
            <w:r w:rsidRPr="00E14DE7">
              <w:rPr>
                <w:rFonts w:cs="Times New Roman"/>
                <w:color w:val="000000"/>
                <w:sz w:val="22"/>
                <w:u w:val="single"/>
              </w:rPr>
              <w:t>8. Each independent member of the BOM of the listing company must prepare the report on BOM’</w:t>
            </w:r>
            <w:r w:rsidR="00357269" w:rsidRPr="00E14DE7">
              <w:rPr>
                <w:rFonts w:cs="Times New Roman"/>
                <w:color w:val="000000"/>
                <w:sz w:val="22"/>
                <w:u w:val="single"/>
              </w:rPr>
              <w:t>s</w:t>
            </w:r>
            <w:r w:rsidRPr="00E14DE7">
              <w:rPr>
                <w:rFonts w:cs="Times New Roman"/>
                <w:color w:val="000000"/>
                <w:sz w:val="22"/>
                <w:u w:val="single"/>
              </w:rPr>
              <w:t xml:space="preserve"> operation assessment.</w:t>
            </w:r>
          </w:p>
        </w:tc>
        <w:tc>
          <w:tcPr>
            <w:tcW w:w="1033" w:type="pct"/>
          </w:tcPr>
          <w:p w14:paraId="04D24112" w14:textId="25D55AEB" w:rsidR="00882BD9" w:rsidRPr="00E14DE7" w:rsidRDefault="00882BD9"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The supplemented contents aim to ensure compliance with Article 1, Clause 80 of the Decree No. 245/2025/ND-CP.</w:t>
            </w:r>
          </w:p>
        </w:tc>
      </w:tr>
      <w:tr w:rsidR="00C301A3" w:rsidRPr="00E14DE7" w14:paraId="01AAB51A" w14:textId="77777777" w:rsidTr="00EB2EA0">
        <w:trPr>
          <w:trHeight w:val="20"/>
        </w:trPr>
        <w:tc>
          <w:tcPr>
            <w:tcW w:w="215" w:type="pct"/>
          </w:tcPr>
          <w:p w14:paraId="1513E353" w14:textId="77777777" w:rsidR="00882BD9" w:rsidRPr="00E14DE7" w:rsidRDefault="00882BD9"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3704A2F2" w14:textId="5D3923F7" w:rsidR="00882BD9" w:rsidRPr="00E14DE7" w:rsidRDefault="00882BD9" w:rsidP="00C301A3">
            <w:pPr>
              <w:widowControl w:val="0"/>
              <w:adjustRightInd w:val="0"/>
              <w:snapToGrid w:val="0"/>
              <w:spacing w:before="60" w:after="60"/>
              <w:rPr>
                <w:rFonts w:cs="Times New Roman"/>
                <w:sz w:val="22"/>
              </w:rPr>
            </w:pPr>
            <w:r w:rsidRPr="00E14DE7">
              <w:rPr>
                <w:rFonts w:cs="Times New Roman"/>
                <w:color w:val="000000" w:themeColor="text1"/>
                <w:sz w:val="22"/>
              </w:rPr>
              <w:t xml:space="preserve">Article 22, Clause 1, point c </w:t>
            </w:r>
          </w:p>
        </w:tc>
        <w:tc>
          <w:tcPr>
            <w:tcW w:w="1167" w:type="pct"/>
          </w:tcPr>
          <w:p w14:paraId="47EBF5CE" w14:textId="0BF6CD02" w:rsidR="00882BD9" w:rsidRPr="00E14DE7" w:rsidRDefault="003A1678" w:rsidP="00C301A3">
            <w:pPr>
              <w:widowControl w:val="0"/>
              <w:adjustRightInd w:val="0"/>
              <w:snapToGrid w:val="0"/>
              <w:spacing w:before="60" w:after="60"/>
              <w:jc w:val="both"/>
              <w:rPr>
                <w:rFonts w:cs="Times New Roman"/>
                <w:bCs/>
                <w:color w:val="000000"/>
                <w:sz w:val="22"/>
              </w:rPr>
            </w:pPr>
            <w:r w:rsidRPr="00E14DE7">
              <w:rPr>
                <w:rFonts w:cs="Times New Roman"/>
                <w:color w:val="000000" w:themeColor="text1"/>
                <w:sz w:val="22"/>
              </w:rPr>
              <w:t>c) Accept to be BOM member of other companies;</w:t>
            </w:r>
          </w:p>
        </w:tc>
        <w:tc>
          <w:tcPr>
            <w:tcW w:w="2011" w:type="pct"/>
          </w:tcPr>
          <w:p w14:paraId="4A91BC2D" w14:textId="77777777" w:rsidR="003A1678" w:rsidRPr="00E14DE7" w:rsidRDefault="003A1678"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Article 23, Clause 1</w:t>
            </w:r>
          </w:p>
          <w:p w14:paraId="4241BC26" w14:textId="6664D42B" w:rsidR="00882BD9" w:rsidRPr="00E14DE7" w:rsidRDefault="003A1678" w:rsidP="00F622A3">
            <w:pPr>
              <w:widowControl w:val="0"/>
              <w:adjustRightInd w:val="0"/>
              <w:snapToGrid w:val="0"/>
              <w:spacing w:before="60" w:after="60"/>
              <w:jc w:val="both"/>
              <w:rPr>
                <w:rFonts w:cs="Times New Roman"/>
                <w:bCs/>
                <w:color w:val="000000"/>
                <w:sz w:val="22"/>
              </w:rPr>
            </w:pPr>
            <w:r w:rsidRPr="00E14DE7">
              <w:rPr>
                <w:rFonts w:cs="Times New Roman"/>
                <w:color w:val="000000" w:themeColor="text1"/>
                <w:sz w:val="22"/>
              </w:rPr>
              <w:t xml:space="preserve">c) </w:t>
            </w:r>
            <w:r w:rsidR="00F622A3" w:rsidRPr="00E14DE7">
              <w:rPr>
                <w:rFonts w:cs="Times New Roman"/>
                <w:color w:val="000000" w:themeColor="text1"/>
                <w:sz w:val="22"/>
              </w:rPr>
              <w:t xml:space="preserve">A member of the BOM of Petrolimex may concurrently serve as </w:t>
            </w:r>
            <w:r w:rsidR="00F622A3" w:rsidRPr="00E14DE7">
              <w:rPr>
                <w:rFonts w:cs="Times New Roman"/>
                <w:color w:val="000000" w:themeColor="text1"/>
                <w:sz w:val="22"/>
                <w:u w:val="single"/>
              </w:rPr>
              <w:t xml:space="preserve">member of the </w:t>
            </w:r>
            <w:r w:rsidRPr="00E14DE7">
              <w:rPr>
                <w:rFonts w:cs="Times New Roman"/>
                <w:color w:val="000000" w:themeColor="text1"/>
                <w:sz w:val="22"/>
                <w:u w:val="single"/>
              </w:rPr>
              <w:t>Member Council of other companies as prescribed by the laws</w:t>
            </w:r>
            <w:r w:rsidRPr="00E14DE7">
              <w:rPr>
                <w:rFonts w:cs="Times New Roman"/>
                <w:color w:val="000000" w:themeColor="text1"/>
                <w:sz w:val="22"/>
              </w:rPr>
              <w:t>;</w:t>
            </w:r>
          </w:p>
        </w:tc>
        <w:tc>
          <w:tcPr>
            <w:tcW w:w="1033" w:type="pct"/>
          </w:tcPr>
          <w:p w14:paraId="6EDBCF40" w14:textId="73E6CE90" w:rsidR="00882BD9" w:rsidRPr="00E14DE7" w:rsidRDefault="00882BD9"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The supplemented contents aim to be consistent with Article 25, clause 5, point c of the 2026 Draft Charter.</w:t>
            </w:r>
          </w:p>
        </w:tc>
      </w:tr>
      <w:tr w:rsidR="00C301A3" w:rsidRPr="00E14DE7" w14:paraId="3B614F6B" w14:textId="77777777" w:rsidTr="00EB2EA0">
        <w:trPr>
          <w:trHeight w:val="20"/>
        </w:trPr>
        <w:tc>
          <w:tcPr>
            <w:tcW w:w="215" w:type="pct"/>
          </w:tcPr>
          <w:p w14:paraId="6CBCC088" w14:textId="77777777" w:rsidR="00C117CF" w:rsidRPr="00E14DE7" w:rsidRDefault="00C117CF"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203311F3" w14:textId="54833A5E" w:rsidR="00C117CF" w:rsidRPr="00E14DE7" w:rsidRDefault="00C117CF" w:rsidP="00C301A3">
            <w:pPr>
              <w:widowControl w:val="0"/>
              <w:adjustRightInd w:val="0"/>
              <w:snapToGrid w:val="0"/>
              <w:spacing w:before="60" w:after="60"/>
              <w:rPr>
                <w:rFonts w:cs="Times New Roman"/>
                <w:color w:val="000000" w:themeColor="text1"/>
                <w:sz w:val="22"/>
              </w:rPr>
            </w:pPr>
            <w:r w:rsidRPr="00E14DE7">
              <w:rPr>
                <w:rFonts w:cs="Times New Roman"/>
                <w:sz w:val="22"/>
              </w:rPr>
              <w:t>Article 27</w:t>
            </w:r>
          </w:p>
        </w:tc>
        <w:tc>
          <w:tcPr>
            <w:tcW w:w="1167" w:type="pct"/>
          </w:tcPr>
          <w:p w14:paraId="5BA55A22" w14:textId="77777777" w:rsidR="00C117CF" w:rsidRPr="00E14DE7" w:rsidRDefault="00C117CF" w:rsidP="00C301A3">
            <w:pPr>
              <w:jc w:val="both"/>
              <w:rPr>
                <w:rFonts w:cs="Times New Roman"/>
                <w:noProof/>
                <w:sz w:val="22"/>
              </w:rPr>
            </w:pPr>
            <w:r w:rsidRPr="00E14DE7">
              <w:rPr>
                <w:rFonts w:cs="Times New Roman"/>
                <w:sz w:val="22"/>
              </w:rPr>
              <w:t xml:space="preserve">Article 27. Procedures for recommendation of Members of Board of Management </w:t>
            </w:r>
          </w:p>
          <w:p w14:paraId="717FC3F5" w14:textId="77777777" w:rsidR="00C117CF" w:rsidRPr="00E14DE7" w:rsidRDefault="00C117CF" w:rsidP="00C301A3">
            <w:pPr>
              <w:jc w:val="both"/>
              <w:rPr>
                <w:rFonts w:cs="Times New Roman"/>
                <w:noProof/>
                <w:sz w:val="22"/>
              </w:rPr>
            </w:pPr>
            <w:r w:rsidRPr="00E14DE7">
              <w:rPr>
                <w:rFonts w:cs="Times New Roman"/>
                <w:sz w:val="22"/>
              </w:rPr>
              <w:t xml:space="preserve">1. In the event that the candidates to the Board of Management have been determined, the candidate-related information must be announced at least 10 days before the General Meeting of Shareholders is opened on Petrolimex’s website so that the shareholders may understand the information about such candidates before voting. The BOM candidates must have written commitments on truthfulness and accuracy of the personal information to be announced and committed to fulfill the assigned tasks in the honest and due diligence manner </w:t>
            </w:r>
            <w:r w:rsidRPr="00E14DE7">
              <w:rPr>
                <w:rFonts w:cs="Times New Roman"/>
                <w:sz w:val="22"/>
              </w:rPr>
              <w:lastRenderedPageBreak/>
              <w:t>for the highest benefits of Petrolimex if they are elected as the member of BOM. The announced information related to the candidate of the Board of Management include:</w:t>
            </w:r>
          </w:p>
          <w:p w14:paraId="4D8D86A3" w14:textId="77777777" w:rsidR="00C117CF" w:rsidRPr="00E14DE7" w:rsidRDefault="00C117CF" w:rsidP="00C301A3">
            <w:pPr>
              <w:jc w:val="both"/>
              <w:rPr>
                <w:rFonts w:cs="Times New Roman"/>
                <w:noProof/>
                <w:sz w:val="22"/>
              </w:rPr>
            </w:pPr>
            <w:r w:rsidRPr="00E14DE7">
              <w:rPr>
                <w:rFonts w:cs="Times New Roman"/>
                <w:sz w:val="22"/>
              </w:rPr>
              <w:t>a) Full name, date of birth;</w:t>
            </w:r>
          </w:p>
          <w:p w14:paraId="49730623" w14:textId="77777777" w:rsidR="00C117CF" w:rsidRPr="00E14DE7" w:rsidRDefault="00C117CF" w:rsidP="00C301A3">
            <w:pPr>
              <w:jc w:val="both"/>
              <w:rPr>
                <w:rFonts w:cs="Times New Roman"/>
                <w:noProof/>
                <w:sz w:val="22"/>
              </w:rPr>
            </w:pPr>
            <w:r w:rsidRPr="00E14DE7">
              <w:rPr>
                <w:rFonts w:cs="Times New Roman"/>
                <w:sz w:val="22"/>
              </w:rPr>
              <w:t>b) Professional qualifications;</w:t>
            </w:r>
          </w:p>
          <w:p w14:paraId="5CBF4E45" w14:textId="77777777" w:rsidR="00C117CF" w:rsidRPr="00E14DE7" w:rsidRDefault="00C117CF" w:rsidP="00C301A3">
            <w:pPr>
              <w:jc w:val="both"/>
              <w:rPr>
                <w:rFonts w:cs="Times New Roman"/>
                <w:noProof/>
                <w:sz w:val="22"/>
              </w:rPr>
            </w:pPr>
            <w:r w:rsidRPr="00E14DE7">
              <w:rPr>
                <w:rFonts w:cs="Times New Roman"/>
                <w:sz w:val="22"/>
              </w:rPr>
              <w:t>c) Employment history;</w:t>
            </w:r>
          </w:p>
          <w:p w14:paraId="322A99F0" w14:textId="77777777" w:rsidR="00C117CF" w:rsidRPr="00E14DE7" w:rsidRDefault="00C117CF" w:rsidP="00C301A3">
            <w:pPr>
              <w:jc w:val="both"/>
              <w:rPr>
                <w:rFonts w:cs="Times New Roman"/>
                <w:noProof/>
                <w:sz w:val="22"/>
              </w:rPr>
            </w:pPr>
            <w:r w:rsidRPr="00E14DE7">
              <w:rPr>
                <w:rFonts w:cs="Times New Roman"/>
                <w:sz w:val="22"/>
              </w:rPr>
              <w:t>d) Other managerial tittles (including the title of the Board of other Companies);</w:t>
            </w:r>
          </w:p>
          <w:p w14:paraId="2760631B" w14:textId="77777777" w:rsidR="00C117CF" w:rsidRPr="00E14DE7" w:rsidRDefault="00C117CF" w:rsidP="00C301A3">
            <w:pPr>
              <w:jc w:val="both"/>
              <w:rPr>
                <w:rFonts w:cs="Times New Roman"/>
                <w:noProof/>
                <w:sz w:val="22"/>
              </w:rPr>
            </w:pPr>
            <w:r w:rsidRPr="00E14DE7">
              <w:rPr>
                <w:rFonts w:cs="Times New Roman"/>
                <w:sz w:val="22"/>
              </w:rPr>
              <w:t>dd) Benefits related to Petrolimex and its related parties;</w:t>
            </w:r>
          </w:p>
          <w:p w14:paraId="37C6D142" w14:textId="77777777" w:rsidR="00C117CF" w:rsidRPr="00E14DE7" w:rsidRDefault="00C117CF" w:rsidP="00C301A3">
            <w:pPr>
              <w:jc w:val="both"/>
              <w:rPr>
                <w:rFonts w:cs="Times New Roman"/>
                <w:noProof/>
                <w:sz w:val="22"/>
              </w:rPr>
            </w:pPr>
            <w:r w:rsidRPr="00E14DE7">
              <w:rPr>
                <w:rFonts w:cs="Times New Roman"/>
                <w:sz w:val="22"/>
              </w:rPr>
              <w:t>e) Full name of shareholder or group of shareholders nominating such candidate (if any);</w:t>
            </w:r>
          </w:p>
          <w:p w14:paraId="62446A85" w14:textId="6156B1A2" w:rsidR="00C117CF" w:rsidRPr="00E14DE7" w:rsidRDefault="00C117CF" w:rsidP="00C301A3">
            <w:pPr>
              <w:widowControl w:val="0"/>
              <w:adjustRightInd w:val="0"/>
              <w:snapToGrid w:val="0"/>
              <w:spacing w:before="60" w:after="60"/>
              <w:jc w:val="both"/>
              <w:rPr>
                <w:rFonts w:cs="Times New Roman"/>
                <w:color w:val="000000" w:themeColor="text1"/>
                <w:sz w:val="22"/>
              </w:rPr>
            </w:pPr>
            <w:r w:rsidRPr="00E14DE7">
              <w:rPr>
                <w:rFonts w:cs="Times New Roman"/>
                <w:sz w:val="22"/>
              </w:rPr>
              <w:t>f. Other information (if any).</w:t>
            </w:r>
          </w:p>
        </w:tc>
        <w:tc>
          <w:tcPr>
            <w:tcW w:w="2011" w:type="pct"/>
          </w:tcPr>
          <w:p w14:paraId="55E979D4" w14:textId="49631B63" w:rsidR="00C117CF" w:rsidRPr="00E14DE7" w:rsidRDefault="00C117CF" w:rsidP="00C301A3">
            <w:pPr>
              <w:jc w:val="both"/>
              <w:rPr>
                <w:rFonts w:cs="Times New Roman"/>
                <w:noProof/>
                <w:sz w:val="22"/>
              </w:rPr>
            </w:pPr>
            <w:r w:rsidRPr="00E14DE7">
              <w:rPr>
                <w:rFonts w:cs="Times New Roman"/>
                <w:sz w:val="22"/>
              </w:rPr>
              <w:lastRenderedPageBreak/>
              <w:t xml:space="preserve">Article 28. Procedures for recommendation of Members of Board of Management </w:t>
            </w:r>
          </w:p>
          <w:p w14:paraId="78F39C05" w14:textId="58E64C90" w:rsidR="00C117CF" w:rsidRPr="00E14DE7" w:rsidRDefault="00C117CF" w:rsidP="00C301A3">
            <w:pPr>
              <w:jc w:val="both"/>
              <w:rPr>
                <w:rFonts w:cs="Times New Roman"/>
                <w:noProof/>
                <w:sz w:val="22"/>
              </w:rPr>
            </w:pPr>
            <w:r w:rsidRPr="00E14DE7">
              <w:rPr>
                <w:rFonts w:cs="Times New Roman"/>
                <w:sz w:val="22"/>
              </w:rPr>
              <w:t xml:space="preserve">1. In the event that the candidates to the Board of Management have been determined, the candidate-related information must be announced at least 10 days before the General Meeting of Shareholders is opened on Petrolimex’s website so that the shareholders may understand the information about such candidates before voting. The BOM candidates must have written commitments on truthfulness and accuracy of the personal information to be announced and committed to fulfill the assigned tasks in the honest and due diligence manner for the highest benefits of Petrolimex if they are elected as the member of BOM. </w:t>
            </w:r>
          </w:p>
          <w:p w14:paraId="34B55C23" w14:textId="748861F2" w:rsidR="00C117CF" w:rsidRPr="00E14DE7" w:rsidRDefault="00C117CF" w:rsidP="00C301A3">
            <w:pPr>
              <w:jc w:val="both"/>
              <w:rPr>
                <w:rFonts w:cs="Times New Roman"/>
                <w:noProof/>
                <w:sz w:val="22"/>
              </w:rPr>
            </w:pPr>
            <w:r w:rsidRPr="00E14DE7">
              <w:rPr>
                <w:rFonts w:cs="Times New Roman"/>
                <w:sz w:val="22"/>
                <w:u w:val="single"/>
              </w:rPr>
              <w:t>2.</w:t>
            </w:r>
            <w:r w:rsidRPr="00E14DE7">
              <w:rPr>
                <w:rFonts w:cs="Times New Roman"/>
                <w:sz w:val="22"/>
              </w:rPr>
              <w:t xml:space="preserve"> The announced information related to the candidate of the Board of Management include:</w:t>
            </w:r>
          </w:p>
          <w:p w14:paraId="2C9C68FB" w14:textId="584A7E75" w:rsidR="00C117CF" w:rsidRPr="00E14DE7" w:rsidRDefault="00C117CF" w:rsidP="00C301A3">
            <w:pPr>
              <w:jc w:val="both"/>
              <w:rPr>
                <w:rFonts w:cs="Times New Roman"/>
                <w:noProof/>
                <w:sz w:val="22"/>
              </w:rPr>
            </w:pPr>
            <w:r w:rsidRPr="00E14DE7">
              <w:rPr>
                <w:rFonts w:cs="Times New Roman"/>
                <w:sz w:val="22"/>
              </w:rPr>
              <w:t>a) Full name, date of birth;</w:t>
            </w:r>
          </w:p>
          <w:p w14:paraId="07743CDA" w14:textId="4BF8E0B7" w:rsidR="00C117CF" w:rsidRPr="00E14DE7" w:rsidRDefault="00C117CF" w:rsidP="00C301A3">
            <w:pPr>
              <w:jc w:val="both"/>
              <w:rPr>
                <w:rFonts w:cs="Times New Roman"/>
                <w:noProof/>
                <w:sz w:val="22"/>
              </w:rPr>
            </w:pPr>
            <w:r w:rsidRPr="00E14DE7">
              <w:rPr>
                <w:rFonts w:cs="Times New Roman"/>
                <w:sz w:val="22"/>
              </w:rPr>
              <w:t>b) Professional qualifications;</w:t>
            </w:r>
          </w:p>
          <w:p w14:paraId="114F3E9B" w14:textId="7A36634E" w:rsidR="00C117CF" w:rsidRPr="00E14DE7" w:rsidRDefault="00C117CF" w:rsidP="00C301A3">
            <w:pPr>
              <w:jc w:val="both"/>
              <w:rPr>
                <w:rFonts w:cs="Times New Roman"/>
                <w:noProof/>
                <w:sz w:val="22"/>
              </w:rPr>
            </w:pPr>
            <w:r w:rsidRPr="00E14DE7">
              <w:rPr>
                <w:rFonts w:cs="Times New Roman"/>
                <w:sz w:val="22"/>
              </w:rPr>
              <w:t>c) Employment history;</w:t>
            </w:r>
          </w:p>
          <w:p w14:paraId="282177C2" w14:textId="17BBF705" w:rsidR="00C117CF" w:rsidRPr="00E14DE7" w:rsidRDefault="00C117CF" w:rsidP="00C301A3">
            <w:pPr>
              <w:jc w:val="both"/>
              <w:rPr>
                <w:rFonts w:cs="Times New Roman"/>
                <w:noProof/>
                <w:sz w:val="22"/>
              </w:rPr>
            </w:pPr>
            <w:r w:rsidRPr="00E14DE7">
              <w:rPr>
                <w:rFonts w:cs="Times New Roman"/>
                <w:sz w:val="22"/>
              </w:rPr>
              <w:t>d) Other managerial tittles (including the title of the Board of other Companies);</w:t>
            </w:r>
          </w:p>
          <w:p w14:paraId="26FC10D7" w14:textId="222A4052" w:rsidR="00C117CF" w:rsidRPr="00E14DE7" w:rsidRDefault="00C117CF" w:rsidP="00C301A3">
            <w:pPr>
              <w:jc w:val="both"/>
              <w:rPr>
                <w:rFonts w:cs="Times New Roman"/>
                <w:noProof/>
                <w:sz w:val="22"/>
              </w:rPr>
            </w:pPr>
            <w:r w:rsidRPr="00E14DE7">
              <w:rPr>
                <w:rFonts w:cs="Times New Roman"/>
                <w:sz w:val="22"/>
              </w:rPr>
              <w:t>dd) Benefits related to Petrolimex and its related parties;</w:t>
            </w:r>
          </w:p>
          <w:p w14:paraId="2F1EC6E6" w14:textId="70866472" w:rsidR="00C117CF" w:rsidRPr="00E14DE7" w:rsidRDefault="00C117CF" w:rsidP="00C301A3">
            <w:pPr>
              <w:jc w:val="both"/>
              <w:rPr>
                <w:rFonts w:cs="Times New Roman"/>
                <w:noProof/>
                <w:sz w:val="22"/>
              </w:rPr>
            </w:pPr>
            <w:r w:rsidRPr="00E14DE7">
              <w:rPr>
                <w:rFonts w:cs="Times New Roman"/>
                <w:sz w:val="22"/>
              </w:rPr>
              <w:lastRenderedPageBreak/>
              <w:t>e) Full name of shareholder or group of shareholders nominating such candidate (if any);</w:t>
            </w:r>
          </w:p>
          <w:p w14:paraId="4C9D6323" w14:textId="380C9C99" w:rsidR="00C117CF" w:rsidRPr="00E14DE7" w:rsidRDefault="00300D84" w:rsidP="00C301A3">
            <w:pPr>
              <w:widowControl w:val="0"/>
              <w:adjustRightInd w:val="0"/>
              <w:snapToGrid w:val="0"/>
              <w:spacing w:before="60" w:after="60"/>
              <w:jc w:val="both"/>
              <w:rPr>
                <w:rFonts w:cs="Times New Roman"/>
                <w:noProof/>
                <w:sz w:val="22"/>
              </w:rPr>
            </w:pPr>
            <w:r w:rsidRPr="00E14DE7">
              <w:rPr>
                <w:rFonts w:cs="Times New Roman"/>
                <w:sz w:val="22"/>
              </w:rPr>
              <w:t>g) Other information (if any);</w:t>
            </w:r>
          </w:p>
          <w:p w14:paraId="75B768F3" w14:textId="48DDEBE4" w:rsidR="00300D84" w:rsidRPr="00E14DE7" w:rsidRDefault="00BD4B9B" w:rsidP="00C301A3">
            <w:pPr>
              <w:widowControl w:val="0"/>
              <w:adjustRightInd w:val="0"/>
              <w:snapToGrid w:val="0"/>
              <w:spacing w:before="60" w:after="60"/>
              <w:jc w:val="both"/>
              <w:rPr>
                <w:rFonts w:cs="Times New Roman"/>
                <w:color w:val="000000" w:themeColor="text1"/>
                <w:sz w:val="22"/>
                <w:u w:val="single"/>
              </w:rPr>
            </w:pPr>
            <w:r w:rsidRPr="00E14DE7">
              <w:rPr>
                <w:rFonts w:cs="Times New Roman"/>
                <w:sz w:val="22"/>
                <w:u w:val="single"/>
              </w:rPr>
              <w:t>h) Petrolimex must announce the information about the companies that are held by the candidates holding the member of Board of Management, other managerial titles and benefits related to the Company of the candidate (if any).</w:t>
            </w:r>
          </w:p>
        </w:tc>
        <w:tc>
          <w:tcPr>
            <w:tcW w:w="1033" w:type="pct"/>
          </w:tcPr>
          <w:p w14:paraId="290A8568" w14:textId="77777777" w:rsidR="009648FE" w:rsidRPr="00E14DE7" w:rsidRDefault="00C117CF" w:rsidP="00C301A3">
            <w:pPr>
              <w:widowControl w:val="0"/>
              <w:adjustRightInd w:val="0"/>
              <w:snapToGrid w:val="0"/>
              <w:spacing w:before="60" w:after="60"/>
              <w:jc w:val="both"/>
              <w:rPr>
                <w:rFonts w:cs="Times New Roman"/>
                <w:noProof/>
                <w:sz w:val="22"/>
              </w:rPr>
            </w:pPr>
            <w:r w:rsidRPr="00E14DE7">
              <w:rPr>
                <w:rFonts w:cs="Times New Roman"/>
                <w:sz w:val="22"/>
              </w:rPr>
              <w:lastRenderedPageBreak/>
              <w:t xml:space="preserve">Drafting techniques: Separate into 02 clauses to ensure proper numbering of small points. Moreover, such 02 paragraphs have different contents. Paragraph 1 specifies the general provisions while paragraph 2 specifies the detailer provisions. Correct the numbering format of section “f” as “g”. </w:t>
            </w:r>
          </w:p>
          <w:p w14:paraId="18421D0E" w14:textId="779D1A41" w:rsidR="00C117CF" w:rsidRPr="00E14DE7" w:rsidRDefault="009648FE"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Add point h to be well matched with the Draft Operation Regulations of the BOM, Article 11, Clause 1, point g.</w:t>
            </w:r>
          </w:p>
        </w:tc>
      </w:tr>
      <w:tr w:rsidR="00C301A3" w:rsidRPr="00E14DE7" w14:paraId="243B1587" w14:textId="77777777" w:rsidTr="00EB2EA0">
        <w:trPr>
          <w:trHeight w:val="20"/>
        </w:trPr>
        <w:tc>
          <w:tcPr>
            <w:tcW w:w="215" w:type="pct"/>
          </w:tcPr>
          <w:p w14:paraId="5B006208" w14:textId="77777777" w:rsidR="0058624D" w:rsidRPr="00E14DE7" w:rsidRDefault="0058624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38BDB488" w14:textId="1847A047" w:rsidR="0058624D" w:rsidRPr="00E14DE7" w:rsidRDefault="0058624D" w:rsidP="00C301A3">
            <w:pPr>
              <w:widowControl w:val="0"/>
              <w:adjustRightInd w:val="0"/>
              <w:snapToGrid w:val="0"/>
              <w:spacing w:before="60" w:after="60"/>
              <w:rPr>
                <w:rFonts w:cs="Times New Roman"/>
                <w:color w:val="000000" w:themeColor="text1"/>
                <w:sz w:val="22"/>
              </w:rPr>
            </w:pPr>
            <w:r w:rsidRPr="00E14DE7">
              <w:rPr>
                <w:rFonts w:cs="Times New Roman"/>
                <w:color w:val="000000" w:themeColor="text1"/>
                <w:sz w:val="22"/>
              </w:rPr>
              <w:t>Article 28, Clause 3</w:t>
            </w:r>
          </w:p>
        </w:tc>
        <w:tc>
          <w:tcPr>
            <w:tcW w:w="1167" w:type="pct"/>
          </w:tcPr>
          <w:p w14:paraId="60C3A743" w14:textId="7DE5B141" w:rsidR="0058624D" w:rsidRPr="00E14DE7" w:rsidRDefault="0058624D" w:rsidP="00E14DE7">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3. The meeting notice may be sent by post, fax or other means, provided that they shall be ensured</w:t>
            </w:r>
            <w:r w:rsidR="00E14DE7">
              <w:rPr>
                <w:rFonts w:cs="Times New Roman"/>
                <w:color w:val="000000" w:themeColor="text1"/>
                <w:sz w:val="22"/>
              </w:rPr>
              <w:t xml:space="preserve"> </w:t>
            </w:r>
            <w:r w:rsidRPr="00E14DE7">
              <w:rPr>
                <w:rFonts w:cs="Times New Roman"/>
                <w:color w:val="000000" w:themeColor="text1"/>
                <w:sz w:val="22"/>
              </w:rPr>
              <w:t xml:space="preserve">to reach the </w:t>
            </w:r>
            <w:r w:rsidR="00E14DE7" w:rsidRPr="00E14DE7">
              <w:rPr>
                <w:rFonts w:cs="Times New Roman"/>
                <w:color w:val="000000" w:themeColor="text1"/>
                <w:sz w:val="22"/>
              </w:rPr>
              <w:t>contact address</w:t>
            </w:r>
            <w:r w:rsidRPr="00E14DE7">
              <w:rPr>
                <w:rFonts w:cs="Times New Roman"/>
                <w:color w:val="000000" w:themeColor="text1"/>
                <w:sz w:val="22"/>
              </w:rPr>
              <w:t xml:space="preserve"> of each member of the Board of Management and Supervisors that was registered at Petrolimex.</w:t>
            </w:r>
          </w:p>
        </w:tc>
        <w:tc>
          <w:tcPr>
            <w:tcW w:w="2011" w:type="pct"/>
          </w:tcPr>
          <w:p w14:paraId="4B198AE6" w14:textId="2B5E81C3" w:rsidR="00EA1E2D" w:rsidRPr="00E14DE7" w:rsidRDefault="00EA1E2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Article 29</w:t>
            </w:r>
          </w:p>
          <w:p w14:paraId="4CF497B8" w14:textId="502572CA" w:rsidR="0058624D" w:rsidRPr="00E14DE7" w:rsidRDefault="0058624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 xml:space="preserve">3. The meeting notice may be sent by post, fax or other means </w:t>
            </w:r>
            <w:r w:rsidRPr="00E14DE7">
              <w:rPr>
                <w:rFonts w:cs="Times New Roman"/>
                <w:color w:val="000000" w:themeColor="text1"/>
                <w:sz w:val="22"/>
                <w:u w:val="single"/>
              </w:rPr>
              <w:t>specified by Petrolimex Charter</w:t>
            </w:r>
            <w:r w:rsidRPr="00E14DE7">
              <w:rPr>
                <w:rFonts w:cs="Times New Roman"/>
                <w:color w:val="000000" w:themeColor="text1"/>
                <w:sz w:val="22"/>
              </w:rPr>
              <w:t xml:space="preserve">, provided that they shall be ensured to reach the </w:t>
            </w:r>
            <w:r w:rsidR="00E14DE7" w:rsidRPr="00E14DE7">
              <w:rPr>
                <w:rFonts w:cs="Times New Roman"/>
                <w:color w:val="000000" w:themeColor="text1"/>
                <w:sz w:val="22"/>
              </w:rPr>
              <w:t>contact address</w:t>
            </w:r>
            <w:r w:rsidRPr="00E14DE7">
              <w:rPr>
                <w:rFonts w:cs="Times New Roman"/>
                <w:color w:val="000000" w:themeColor="text1"/>
                <w:sz w:val="22"/>
              </w:rPr>
              <w:t xml:space="preserve"> of each member of the Board of Management and Supervisors that was registered at Petrolimex.</w:t>
            </w:r>
          </w:p>
        </w:tc>
        <w:tc>
          <w:tcPr>
            <w:tcW w:w="1033" w:type="pct"/>
          </w:tcPr>
          <w:p w14:paraId="5E6D5AA3" w14:textId="5F9D9EBE" w:rsidR="0058624D" w:rsidRPr="00E14DE7" w:rsidRDefault="0058624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 xml:space="preserve">Supplement </w:t>
            </w:r>
            <w:r w:rsidR="007F1352" w:rsidRPr="00E14DE7">
              <w:rPr>
                <w:rFonts w:cs="Times New Roman"/>
                <w:color w:val="000000" w:themeColor="text1"/>
                <w:sz w:val="22"/>
              </w:rPr>
              <w:t>to ensure compliance with Article</w:t>
            </w:r>
            <w:r w:rsidRPr="00E14DE7">
              <w:rPr>
                <w:rFonts w:cs="Times New Roman"/>
                <w:color w:val="000000" w:themeColor="text1"/>
                <w:sz w:val="22"/>
              </w:rPr>
              <w:t xml:space="preserve"> 30, Clause 6 of the 2026 Draft Charter.</w:t>
            </w:r>
          </w:p>
        </w:tc>
      </w:tr>
      <w:tr w:rsidR="00C301A3" w:rsidRPr="00E14DE7" w14:paraId="4145B000" w14:textId="77777777" w:rsidTr="00EB2EA0">
        <w:trPr>
          <w:trHeight w:val="20"/>
        </w:trPr>
        <w:tc>
          <w:tcPr>
            <w:tcW w:w="215" w:type="pct"/>
          </w:tcPr>
          <w:p w14:paraId="52D7C3A1" w14:textId="77777777" w:rsidR="0058624D" w:rsidRPr="00E14DE7" w:rsidRDefault="0058624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3A78E45C" w14:textId="7DE994B2" w:rsidR="0058624D" w:rsidRPr="00E14DE7" w:rsidRDefault="0058624D" w:rsidP="00C301A3">
            <w:pPr>
              <w:widowControl w:val="0"/>
              <w:adjustRightInd w:val="0"/>
              <w:snapToGrid w:val="0"/>
              <w:spacing w:before="60" w:after="60"/>
              <w:rPr>
                <w:rFonts w:cs="Times New Roman"/>
                <w:sz w:val="22"/>
              </w:rPr>
            </w:pPr>
            <w:r w:rsidRPr="00E14DE7">
              <w:rPr>
                <w:rFonts w:cs="Times New Roman"/>
                <w:color w:val="000000" w:themeColor="text1"/>
                <w:sz w:val="22"/>
              </w:rPr>
              <w:t>Article 34, Clause 3</w:t>
            </w:r>
          </w:p>
        </w:tc>
        <w:tc>
          <w:tcPr>
            <w:tcW w:w="1167" w:type="pct"/>
          </w:tcPr>
          <w:p w14:paraId="1335A0CE" w14:textId="452C5C7F" w:rsidR="0058624D" w:rsidRPr="00E14DE7" w:rsidRDefault="0058624D"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 xml:space="preserve">3. </w:t>
            </w:r>
            <w:r w:rsidR="00EB37BA" w:rsidRPr="00E14DE7">
              <w:rPr>
                <w:rFonts w:cs="Times New Roman"/>
                <w:color w:val="000000"/>
                <w:sz w:val="22"/>
              </w:rPr>
              <w:t xml:space="preserve">The </w:t>
            </w:r>
            <w:r w:rsidR="00EB37BA" w:rsidRPr="00E14DE7">
              <w:rPr>
                <w:rFonts w:cs="Times New Roman"/>
                <w:sz w:val="22"/>
              </w:rPr>
              <w:t xml:space="preserve">person in charge of corporate governance of </w:t>
            </w:r>
            <w:r w:rsidRPr="00E14DE7">
              <w:rPr>
                <w:rFonts w:cs="Times New Roman"/>
                <w:color w:val="000000"/>
                <w:sz w:val="22"/>
              </w:rPr>
              <w:t>Petrolimex shall have following rights and obligations:</w:t>
            </w:r>
          </w:p>
          <w:p w14:paraId="0B66C1E6" w14:textId="77777777" w:rsidR="0058624D" w:rsidRPr="00E14DE7" w:rsidRDefault="0058624D"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 xml:space="preserve">a) Advise the Board of Management to organize the </w:t>
            </w:r>
            <w:r w:rsidRPr="00E14DE7">
              <w:rPr>
                <w:rFonts w:cs="Times New Roman"/>
                <w:color w:val="000000"/>
                <w:sz w:val="22"/>
              </w:rPr>
              <w:lastRenderedPageBreak/>
              <w:t>General Meeting of Shareholders as prescribed and related works between Petrolimex and the Shareholders;</w:t>
            </w:r>
          </w:p>
          <w:p w14:paraId="00295DD7" w14:textId="77777777" w:rsidR="0058624D" w:rsidRPr="00E14DE7" w:rsidRDefault="0058624D"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b) Prepare the meeting of Board of Management, Supervisory Board and General Meeting of Shareholders as required by the Board of Management or Supervisory Board;</w:t>
            </w:r>
          </w:p>
          <w:p w14:paraId="4E01A6F2" w14:textId="77777777" w:rsidR="0058624D" w:rsidRPr="00E14DE7" w:rsidRDefault="0058624D"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c) Provide advice on procedures of meetings;</w:t>
            </w:r>
          </w:p>
          <w:p w14:paraId="306E6157" w14:textId="77777777" w:rsidR="0058624D" w:rsidRPr="00E14DE7" w:rsidRDefault="0058624D"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d) Attend the meetings;</w:t>
            </w:r>
          </w:p>
          <w:p w14:paraId="15991D27" w14:textId="77777777" w:rsidR="0058624D" w:rsidRPr="00E14DE7" w:rsidRDefault="0058624D"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dd) Advise the procedures and prepare the resolutions of the Board of Management as prescribed by the laws;</w:t>
            </w:r>
          </w:p>
          <w:p w14:paraId="2E000CC7" w14:textId="77777777" w:rsidR="0058624D" w:rsidRPr="00E14DE7" w:rsidRDefault="0058624D"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e) Provide financial information, copies of minutes of meetings of the Board of Management and other information to members of the Board of Management and Supervisors;</w:t>
            </w:r>
          </w:p>
          <w:p w14:paraId="52F6FD31" w14:textId="51E55D09" w:rsidR="0058624D" w:rsidRPr="00E14DE7" w:rsidRDefault="0058624D"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 xml:space="preserve">g) Monitor and report the Board regarding Petrolimex's </w:t>
            </w:r>
            <w:r w:rsidR="00027F3F" w:rsidRPr="00E14DE7">
              <w:rPr>
                <w:rFonts w:cs="Times New Roman"/>
                <w:color w:val="000000"/>
                <w:sz w:val="22"/>
              </w:rPr>
              <w:t>information disclosure</w:t>
            </w:r>
            <w:r w:rsidRPr="00E14DE7">
              <w:rPr>
                <w:rFonts w:cs="Times New Roman"/>
                <w:color w:val="000000"/>
                <w:sz w:val="22"/>
              </w:rPr>
              <w:t>;</w:t>
            </w:r>
          </w:p>
          <w:p w14:paraId="685C24E7" w14:textId="77777777" w:rsidR="0058624D" w:rsidRPr="00E14DE7" w:rsidRDefault="0058624D"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h) Act as the focal contacts with the parties having related benefits;</w:t>
            </w:r>
          </w:p>
          <w:p w14:paraId="3200A589" w14:textId="77777777" w:rsidR="0058624D" w:rsidRPr="00E14DE7" w:rsidRDefault="0058624D"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i) Keep information confidential as prescribed by the laws and the Charter of Petrolimex;</w:t>
            </w:r>
          </w:p>
          <w:p w14:paraId="4ADD7457" w14:textId="5DDB36A9" w:rsidR="0058624D" w:rsidRPr="00E14DE7" w:rsidRDefault="0058624D"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 xml:space="preserve">k) Other rights and obligations </w:t>
            </w:r>
            <w:r w:rsidRPr="00E14DE7">
              <w:rPr>
                <w:rFonts w:cs="Times New Roman"/>
                <w:color w:val="000000"/>
                <w:sz w:val="22"/>
              </w:rPr>
              <w:lastRenderedPageBreak/>
              <w:t>as prescribed by the law and the Charter of Petrolimex.</w:t>
            </w:r>
          </w:p>
        </w:tc>
        <w:tc>
          <w:tcPr>
            <w:tcW w:w="2011" w:type="pct"/>
          </w:tcPr>
          <w:p w14:paraId="1D291A41" w14:textId="2126AACB" w:rsidR="00C63AC3" w:rsidRPr="00E14DE7" w:rsidRDefault="00C63AC3" w:rsidP="00C301A3">
            <w:pPr>
              <w:spacing w:after="120"/>
              <w:jc w:val="both"/>
              <w:rPr>
                <w:rFonts w:cs="Times New Roman"/>
                <w:bCs/>
                <w:sz w:val="22"/>
              </w:rPr>
            </w:pPr>
            <w:r w:rsidRPr="00E14DE7">
              <w:rPr>
                <w:rFonts w:cs="Times New Roman"/>
                <w:sz w:val="22"/>
              </w:rPr>
              <w:lastRenderedPageBreak/>
              <w:t>Article 35</w:t>
            </w:r>
          </w:p>
          <w:p w14:paraId="1A452F88" w14:textId="123F7C30" w:rsidR="0058624D" w:rsidRPr="00E14DE7" w:rsidRDefault="0058624D" w:rsidP="00C301A3">
            <w:pPr>
              <w:spacing w:after="120"/>
              <w:jc w:val="both"/>
              <w:rPr>
                <w:rFonts w:cs="Times New Roman"/>
                <w:bCs/>
                <w:sz w:val="22"/>
              </w:rPr>
            </w:pPr>
            <w:r w:rsidRPr="00E14DE7">
              <w:rPr>
                <w:rFonts w:cs="Times New Roman"/>
                <w:sz w:val="22"/>
              </w:rPr>
              <w:t xml:space="preserve">3. </w:t>
            </w:r>
            <w:r w:rsidR="00027F3F" w:rsidRPr="00E14DE7">
              <w:rPr>
                <w:rFonts w:cs="Times New Roman"/>
                <w:sz w:val="22"/>
              </w:rPr>
              <w:t xml:space="preserve">The person in charge of corporate governance of </w:t>
            </w:r>
            <w:r w:rsidRPr="00E14DE7">
              <w:rPr>
                <w:rFonts w:cs="Times New Roman"/>
                <w:sz w:val="22"/>
              </w:rPr>
              <w:t>Petrolimex shall have following rights and obligations:</w:t>
            </w:r>
          </w:p>
          <w:p w14:paraId="6B3D463A" w14:textId="77777777" w:rsidR="0058624D" w:rsidRPr="00E14DE7" w:rsidRDefault="0058624D" w:rsidP="00C301A3">
            <w:pPr>
              <w:spacing w:after="120"/>
              <w:jc w:val="both"/>
              <w:rPr>
                <w:rFonts w:cs="Times New Roman"/>
                <w:bCs/>
                <w:sz w:val="22"/>
              </w:rPr>
            </w:pPr>
            <w:r w:rsidRPr="00E14DE7">
              <w:rPr>
                <w:rFonts w:cs="Times New Roman"/>
                <w:sz w:val="22"/>
              </w:rPr>
              <w:t xml:space="preserve">a) Advise the Board of Management to organize the General Meeting of Shareholders as prescribed and related </w:t>
            </w:r>
            <w:r w:rsidRPr="00E14DE7">
              <w:rPr>
                <w:rFonts w:cs="Times New Roman"/>
                <w:sz w:val="22"/>
              </w:rPr>
              <w:lastRenderedPageBreak/>
              <w:t>works between Petrolimex and the Shareholders;</w:t>
            </w:r>
          </w:p>
          <w:p w14:paraId="28BC0666" w14:textId="77777777" w:rsidR="0058624D" w:rsidRPr="00E14DE7" w:rsidRDefault="0058624D" w:rsidP="00C301A3">
            <w:pPr>
              <w:spacing w:after="120"/>
              <w:jc w:val="both"/>
              <w:rPr>
                <w:rFonts w:cs="Times New Roman"/>
                <w:bCs/>
                <w:sz w:val="22"/>
              </w:rPr>
            </w:pPr>
            <w:r w:rsidRPr="00E14DE7">
              <w:rPr>
                <w:rFonts w:cs="Times New Roman"/>
                <w:sz w:val="22"/>
              </w:rPr>
              <w:t>b) Prepare the meeting of Board of Management, Supervisory Board and General Meeting of Shareholders as required by the Board of Management or Supervisory Board;</w:t>
            </w:r>
          </w:p>
          <w:p w14:paraId="504E3D1D" w14:textId="7A939518" w:rsidR="0058624D" w:rsidRPr="00E14DE7" w:rsidRDefault="0058624D" w:rsidP="00C301A3">
            <w:pPr>
              <w:spacing w:after="120"/>
              <w:jc w:val="both"/>
              <w:rPr>
                <w:rFonts w:cs="Times New Roman"/>
                <w:bCs/>
                <w:sz w:val="22"/>
              </w:rPr>
            </w:pPr>
            <w:r w:rsidRPr="00E14DE7">
              <w:rPr>
                <w:rFonts w:cs="Times New Roman"/>
                <w:sz w:val="22"/>
              </w:rPr>
              <w:t xml:space="preserve">c) Provide advice on procedures of </w:t>
            </w:r>
            <w:r w:rsidRPr="00E14DE7">
              <w:rPr>
                <w:rFonts w:cs="Times New Roman"/>
                <w:sz w:val="22"/>
                <w:u w:val="single"/>
              </w:rPr>
              <w:t>meetings of Board of Management and the General Meeting of Shareholders;</w:t>
            </w:r>
          </w:p>
          <w:p w14:paraId="648B5501" w14:textId="0ACBB7D4" w:rsidR="0058624D" w:rsidRPr="00E14DE7" w:rsidRDefault="0058624D" w:rsidP="00C301A3">
            <w:pPr>
              <w:spacing w:after="120"/>
              <w:jc w:val="both"/>
              <w:rPr>
                <w:rFonts w:cs="Times New Roman"/>
                <w:bCs/>
                <w:sz w:val="22"/>
              </w:rPr>
            </w:pPr>
            <w:r w:rsidRPr="00E14DE7">
              <w:rPr>
                <w:rFonts w:cs="Times New Roman"/>
                <w:sz w:val="22"/>
              </w:rPr>
              <w:t xml:space="preserve">d) Attend the meetings of </w:t>
            </w:r>
            <w:r w:rsidRPr="00E14DE7">
              <w:rPr>
                <w:rFonts w:cs="Times New Roman"/>
                <w:sz w:val="22"/>
                <w:u w:val="single"/>
              </w:rPr>
              <w:t>Board of Management</w:t>
            </w:r>
            <w:r w:rsidRPr="00E14DE7">
              <w:rPr>
                <w:rFonts w:cs="Times New Roman"/>
                <w:sz w:val="22"/>
              </w:rPr>
              <w:t xml:space="preserve"> </w:t>
            </w:r>
            <w:r w:rsidRPr="00E14DE7">
              <w:rPr>
                <w:rFonts w:cs="Times New Roman"/>
                <w:sz w:val="22"/>
                <w:u w:val="single"/>
              </w:rPr>
              <w:t>and the General Meeting of Shareholders;</w:t>
            </w:r>
          </w:p>
          <w:p w14:paraId="5048EE8A" w14:textId="77777777" w:rsidR="0058624D" w:rsidRPr="00E14DE7" w:rsidRDefault="0058624D" w:rsidP="00C301A3">
            <w:pPr>
              <w:spacing w:after="120"/>
              <w:jc w:val="both"/>
              <w:rPr>
                <w:rFonts w:cs="Times New Roman"/>
                <w:bCs/>
                <w:sz w:val="22"/>
              </w:rPr>
            </w:pPr>
            <w:r w:rsidRPr="00E14DE7">
              <w:rPr>
                <w:rFonts w:cs="Times New Roman"/>
                <w:sz w:val="22"/>
              </w:rPr>
              <w:t>dd) Advise the procedures and prepare the resolutions of the Board of Management as prescribed by the laws;</w:t>
            </w:r>
          </w:p>
          <w:p w14:paraId="18F4028C" w14:textId="77777777" w:rsidR="0058624D" w:rsidRPr="00E14DE7" w:rsidRDefault="0058624D" w:rsidP="00C301A3">
            <w:pPr>
              <w:spacing w:after="120"/>
              <w:jc w:val="both"/>
              <w:rPr>
                <w:rFonts w:cs="Times New Roman"/>
                <w:bCs/>
                <w:sz w:val="22"/>
              </w:rPr>
            </w:pPr>
            <w:r w:rsidRPr="00E14DE7">
              <w:rPr>
                <w:rFonts w:cs="Times New Roman"/>
                <w:sz w:val="22"/>
              </w:rPr>
              <w:t>e) Provide financial information, copies of minutes of meetings of the Board of Management and other information to members of the Board of Management and Supervisors;</w:t>
            </w:r>
          </w:p>
          <w:p w14:paraId="6412633D" w14:textId="288C0A3E" w:rsidR="0058624D" w:rsidRPr="00E14DE7" w:rsidRDefault="0058624D" w:rsidP="00C301A3">
            <w:pPr>
              <w:spacing w:after="120"/>
              <w:jc w:val="both"/>
              <w:rPr>
                <w:rFonts w:cs="Times New Roman"/>
                <w:bCs/>
                <w:sz w:val="22"/>
              </w:rPr>
            </w:pPr>
            <w:r w:rsidRPr="00E14DE7">
              <w:rPr>
                <w:rFonts w:cs="Times New Roman"/>
                <w:sz w:val="22"/>
              </w:rPr>
              <w:t xml:space="preserve">g) Monitor and report the Board regarding Petrolimex's </w:t>
            </w:r>
            <w:r w:rsidR="00027F3F" w:rsidRPr="00E14DE7">
              <w:rPr>
                <w:rFonts w:cs="Times New Roman"/>
                <w:sz w:val="22"/>
              </w:rPr>
              <w:t>information disclosure</w:t>
            </w:r>
            <w:r w:rsidRPr="00E14DE7">
              <w:rPr>
                <w:rFonts w:cs="Times New Roman"/>
                <w:sz w:val="22"/>
              </w:rPr>
              <w:t>;</w:t>
            </w:r>
          </w:p>
          <w:p w14:paraId="307605B6" w14:textId="77777777" w:rsidR="0058624D" w:rsidRPr="00E14DE7" w:rsidRDefault="0058624D" w:rsidP="00C301A3">
            <w:pPr>
              <w:spacing w:after="120"/>
              <w:jc w:val="both"/>
              <w:rPr>
                <w:rFonts w:cs="Times New Roman"/>
                <w:bCs/>
                <w:sz w:val="22"/>
              </w:rPr>
            </w:pPr>
            <w:r w:rsidRPr="00E14DE7">
              <w:rPr>
                <w:rFonts w:cs="Times New Roman"/>
                <w:sz w:val="22"/>
              </w:rPr>
              <w:t>h) Act as the focal contacts with the parties having related benefits;</w:t>
            </w:r>
          </w:p>
          <w:p w14:paraId="3AC5D5D5" w14:textId="5463FD89" w:rsidR="0058624D" w:rsidRPr="00E14DE7" w:rsidRDefault="0058624D" w:rsidP="00C301A3">
            <w:pPr>
              <w:spacing w:after="120"/>
              <w:jc w:val="both"/>
              <w:rPr>
                <w:rFonts w:cs="Times New Roman"/>
                <w:bCs/>
                <w:sz w:val="22"/>
              </w:rPr>
            </w:pPr>
            <w:r w:rsidRPr="00E14DE7">
              <w:rPr>
                <w:rFonts w:cs="Times New Roman"/>
                <w:sz w:val="22"/>
              </w:rPr>
              <w:t xml:space="preserve">i) Keep information confidential as prescribed by the laws, </w:t>
            </w:r>
            <w:r w:rsidRPr="00E14DE7">
              <w:rPr>
                <w:rFonts w:cs="Times New Roman"/>
                <w:sz w:val="22"/>
                <w:u w:val="single"/>
              </w:rPr>
              <w:t>the Charter and internal regulations of</w:t>
            </w:r>
            <w:r w:rsidRPr="00E14DE7">
              <w:rPr>
                <w:rFonts w:cs="Times New Roman"/>
                <w:sz w:val="22"/>
              </w:rPr>
              <w:t xml:space="preserve"> </w:t>
            </w:r>
            <w:r w:rsidRPr="00E14DE7">
              <w:rPr>
                <w:rFonts w:cs="Times New Roman"/>
                <w:sz w:val="22"/>
                <w:u w:val="single"/>
              </w:rPr>
              <w:t>Petrolimex;</w:t>
            </w:r>
          </w:p>
          <w:p w14:paraId="2CC4FC0F" w14:textId="7060DA5B" w:rsidR="0058624D" w:rsidRPr="00E14DE7" w:rsidRDefault="0058624D" w:rsidP="00C301A3">
            <w:pPr>
              <w:spacing w:after="120"/>
              <w:jc w:val="both"/>
              <w:rPr>
                <w:rFonts w:cs="Times New Roman"/>
                <w:bCs/>
                <w:sz w:val="22"/>
              </w:rPr>
            </w:pPr>
            <w:r w:rsidRPr="00E14DE7">
              <w:rPr>
                <w:rFonts w:cs="Times New Roman"/>
                <w:sz w:val="22"/>
              </w:rPr>
              <w:t xml:space="preserve">k) Other rights and obligations as prescribed by the laws, the Charter </w:t>
            </w:r>
            <w:r w:rsidRPr="00E14DE7">
              <w:rPr>
                <w:rFonts w:cs="Times New Roman"/>
                <w:sz w:val="22"/>
                <w:u w:val="single"/>
              </w:rPr>
              <w:t>and the Internal Regulations of Petrolimex</w:t>
            </w:r>
            <w:r w:rsidRPr="00E14DE7">
              <w:rPr>
                <w:rFonts w:cs="Times New Roman"/>
                <w:sz w:val="22"/>
              </w:rPr>
              <w:t>.</w:t>
            </w:r>
          </w:p>
        </w:tc>
        <w:tc>
          <w:tcPr>
            <w:tcW w:w="1033" w:type="pct"/>
          </w:tcPr>
          <w:p w14:paraId="1C0685BF" w14:textId="4EA77D31" w:rsidR="0058624D" w:rsidRPr="00E14DE7" w:rsidRDefault="0058624D" w:rsidP="00C301A3">
            <w:pPr>
              <w:widowControl w:val="0"/>
              <w:adjustRightInd w:val="0"/>
              <w:snapToGrid w:val="0"/>
              <w:spacing w:before="60" w:after="60"/>
              <w:jc w:val="both"/>
              <w:rPr>
                <w:rFonts w:cs="Times New Roman"/>
                <w:color w:val="000000" w:themeColor="text1"/>
                <w:sz w:val="22"/>
                <w:highlight w:val="yellow"/>
              </w:rPr>
            </w:pPr>
            <w:r w:rsidRPr="00E14DE7">
              <w:rPr>
                <w:rFonts w:cs="Times New Roman"/>
                <w:color w:val="000000" w:themeColor="text1"/>
                <w:sz w:val="22"/>
              </w:rPr>
              <w:lastRenderedPageBreak/>
              <w:t>The supplemented contents aim to be consistent with Article 32, clause 3 of the 2026 Draft Charter.</w:t>
            </w:r>
          </w:p>
        </w:tc>
      </w:tr>
      <w:tr w:rsidR="00C301A3" w:rsidRPr="00E14DE7" w14:paraId="31C67FCB" w14:textId="77777777" w:rsidTr="00EB2EA0">
        <w:trPr>
          <w:trHeight w:val="20"/>
        </w:trPr>
        <w:tc>
          <w:tcPr>
            <w:tcW w:w="215" w:type="pct"/>
          </w:tcPr>
          <w:p w14:paraId="35EB62C6" w14:textId="77777777" w:rsidR="002C7D6E" w:rsidRPr="00E14DE7" w:rsidRDefault="002C7D6E"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22390C70" w14:textId="61052C5E" w:rsidR="002C7D6E" w:rsidRPr="00E14DE7" w:rsidRDefault="002C7D6E" w:rsidP="00C301A3">
            <w:pPr>
              <w:widowControl w:val="0"/>
              <w:adjustRightInd w:val="0"/>
              <w:snapToGrid w:val="0"/>
              <w:spacing w:before="60" w:after="60"/>
              <w:rPr>
                <w:rFonts w:cs="Times New Roman"/>
                <w:color w:val="000000" w:themeColor="text1"/>
                <w:sz w:val="22"/>
              </w:rPr>
            </w:pPr>
            <w:r w:rsidRPr="00E14DE7">
              <w:rPr>
                <w:rFonts w:cs="Times New Roman"/>
                <w:color w:val="000000" w:themeColor="text1"/>
                <w:sz w:val="22"/>
              </w:rPr>
              <w:t>Article 34</w:t>
            </w:r>
          </w:p>
        </w:tc>
        <w:tc>
          <w:tcPr>
            <w:tcW w:w="1167" w:type="pct"/>
          </w:tcPr>
          <w:p w14:paraId="019EFB9C" w14:textId="6A8F2E92" w:rsidR="002C7D6E" w:rsidRPr="00E14DE7" w:rsidRDefault="002C7D6E" w:rsidP="00C301A3">
            <w:pPr>
              <w:widowControl w:val="0"/>
              <w:adjustRightInd w:val="0"/>
              <w:snapToGrid w:val="0"/>
              <w:spacing w:before="60" w:after="60"/>
              <w:jc w:val="both"/>
              <w:rPr>
                <w:rFonts w:cs="Times New Roman"/>
                <w:bCs/>
                <w:i/>
                <w:iCs/>
                <w:color w:val="000000"/>
                <w:sz w:val="22"/>
              </w:rPr>
            </w:pPr>
            <w:r w:rsidRPr="00E14DE7">
              <w:rPr>
                <w:rFonts w:cs="Times New Roman"/>
                <w:i/>
                <w:color w:val="000000"/>
                <w:sz w:val="22"/>
              </w:rPr>
              <w:t>Not specified</w:t>
            </w:r>
          </w:p>
        </w:tc>
        <w:tc>
          <w:tcPr>
            <w:tcW w:w="2011" w:type="pct"/>
          </w:tcPr>
          <w:p w14:paraId="14FCAE99" w14:textId="15D57163" w:rsidR="008347CD" w:rsidRPr="00E14DE7" w:rsidRDefault="008347CD" w:rsidP="00C301A3">
            <w:pPr>
              <w:spacing w:after="120"/>
              <w:jc w:val="both"/>
              <w:rPr>
                <w:rFonts w:cs="Times New Roman"/>
                <w:bCs/>
                <w:sz w:val="22"/>
              </w:rPr>
            </w:pPr>
            <w:r w:rsidRPr="00E14DE7">
              <w:rPr>
                <w:rFonts w:cs="Times New Roman"/>
                <w:sz w:val="22"/>
              </w:rPr>
              <w:t>Article 35</w:t>
            </w:r>
          </w:p>
          <w:p w14:paraId="64587B4F" w14:textId="1F71A6F8" w:rsidR="003404B6" w:rsidRPr="00E14DE7" w:rsidRDefault="003404B6" w:rsidP="00C301A3">
            <w:pPr>
              <w:spacing w:after="120"/>
              <w:jc w:val="both"/>
              <w:rPr>
                <w:rFonts w:cs="Times New Roman"/>
                <w:bCs/>
                <w:sz w:val="22"/>
              </w:rPr>
            </w:pPr>
            <w:r w:rsidRPr="00E14DE7">
              <w:rPr>
                <w:rFonts w:cs="Times New Roman"/>
                <w:sz w:val="22"/>
                <w:u w:val="single"/>
              </w:rPr>
              <w:t xml:space="preserve">4. The Board of Management specifies selection, appointment and dismissal of </w:t>
            </w:r>
            <w:r w:rsidR="009F329D" w:rsidRPr="00E14DE7">
              <w:rPr>
                <w:rFonts w:cs="Times New Roman"/>
                <w:sz w:val="22"/>
                <w:u w:val="single"/>
              </w:rPr>
              <w:t xml:space="preserve">the person in charge of corporate governance of </w:t>
            </w:r>
            <w:r w:rsidRPr="00E14DE7">
              <w:rPr>
                <w:rFonts w:cs="Times New Roman"/>
                <w:sz w:val="22"/>
                <w:u w:val="single"/>
              </w:rPr>
              <w:t>Petrolimex</w:t>
            </w:r>
            <w:r w:rsidRPr="00E14DE7">
              <w:rPr>
                <w:rFonts w:cs="Times New Roman"/>
                <w:sz w:val="22"/>
              </w:rPr>
              <w:t>.</w:t>
            </w:r>
          </w:p>
          <w:p w14:paraId="4B2737C2" w14:textId="77777777" w:rsidR="002C7D6E" w:rsidRPr="00E14DE7" w:rsidRDefault="002C7D6E" w:rsidP="00C301A3">
            <w:pPr>
              <w:spacing w:after="120"/>
              <w:jc w:val="both"/>
              <w:rPr>
                <w:rFonts w:cs="Times New Roman"/>
                <w:bCs/>
                <w:sz w:val="22"/>
              </w:rPr>
            </w:pPr>
          </w:p>
        </w:tc>
        <w:tc>
          <w:tcPr>
            <w:tcW w:w="1033" w:type="pct"/>
          </w:tcPr>
          <w:p w14:paraId="3A92EE23" w14:textId="3A4FE2EF" w:rsidR="002C7D6E" w:rsidRPr="00E14DE7" w:rsidRDefault="008A6B00" w:rsidP="009F329D">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 xml:space="preserve">Supplement contents to clarify the authority to select, appoint and dismiss the </w:t>
            </w:r>
            <w:r w:rsidR="009F329D" w:rsidRPr="00E14DE7">
              <w:rPr>
                <w:rFonts w:cs="Times New Roman"/>
                <w:color w:val="000000" w:themeColor="text1"/>
                <w:sz w:val="22"/>
              </w:rPr>
              <w:t xml:space="preserve">person in charge of corporate governance </w:t>
            </w:r>
            <w:r w:rsidRPr="00E14DE7">
              <w:rPr>
                <w:rFonts w:cs="Times New Roman"/>
                <w:color w:val="000000" w:themeColor="text1"/>
                <w:sz w:val="22"/>
              </w:rPr>
              <w:t>under the BOM’s responsibility as defined in Article 278, Clause 7 of the Decree No. 155/2020/ND-CP.</w:t>
            </w:r>
          </w:p>
        </w:tc>
      </w:tr>
      <w:tr w:rsidR="00C301A3" w:rsidRPr="00E14DE7" w14:paraId="5A5B0A0E" w14:textId="77777777" w:rsidTr="00EB2EA0">
        <w:trPr>
          <w:trHeight w:val="20"/>
        </w:trPr>
        <w:tc>
          <w:tcPr>
            <w:tcW w:w="215" w:type="pct"/>
          </w:tcPr>
          <w:p w14:paraId="11B6BFE6" w14:textId="77777777" w:rsidR="0058624D" w:rsidRPr="00E14DE7" w:rsidRDefault="0058624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2AEC9992" w14:textId="69E91223" w:rsidR="0058624D" w:rsidRPr="00E14DE7" w:rsidRDefault="0058624D" w:rsidP="00C301A3">
            <w:pPr>
              <w:widowControl w:val="0"/>
              <w:adjustRightInd w:val="0"/>
              <w:snapToGrid w:val="0"/>
              <w:spacing w:before="60" w:after="60"/>
              <w:rPr>
                <w:rFonts w:cs="Times New Roman"/>
                <w:color w:val="000000" w:themeColor="text1"/>
                <w:sz w:val="22"/>
              </w:rPr>
            </w:pPr>
            <w:r w:rsidRPr="00E14DE7">
              <w:rPr>
                <w:rFonts w:cs="Times New Roman"/>
                <w:color w:val="000000" w:themeColor="text1"/>
                <w:sz w:val="22"/>
              </w:rPr>
              <w:t>Article 35, Clause 3</w:t>
            </w:r>
          </w:p>
        </w:tc>
        <w:tc>
          <w:tcPr>
            <w:tcW w:w="1167" w:type="pct"/>
          </w:tcPr>
          <w:p w14:paraId="51CC46A9" w14:textId="28A7FB46" w:rsidR="0058624D" w:rsidRPr="00E14DE7" w:rsidRDefault="00381D48" w:rsidP="00C301A3">
            <w:pPr>
              <w:widowControl w:val="0"/>
              <w:adjustRightInd w:val="0"/>
              <w:snapToGrid w:val="0"/>
              <w:spacing w:before="60" w:after="60"/>
              <w:jc w:val="both"/>
              <w:rPr>
                <w:rFonts w:cs="Times New Roman"/>
                <w:color w:val="000000"/>
                <w:sz w:val="22"/>
              </w:rPr>
            </w:pPr>
            <w:r w:rsidRPr="00E14DE7">
              <w:rPr>
                <w:rFonts w:cs="Times New Roman"/>
                <w:color w:val="000000"/>
                <w:sz w:val="22"/>
              </w:rPr>
              <w:t>3. Monitor Petrolimex’s financial position, legal compliance in operations of the members of Board of Management, the General Director and other managers.</w:t>
            </w:r>
          </w:p>
        </w:tc>
        <w:tc>
          <w:tcPr>
            <w:tcW w:w="2011" w:type="pct"/>
          </w:tcPr>
          <w:p w14:paraId="4185F075" w14:textId="1EEF0FD4" w:rsidR="00381D48" w:rsidRPr="00E14DE7" w:rsidRDefault="00381D48" w:rsidP="00C301A3">
            <w:pPr>
              <w:widowControl w:val="0"/>
              <w:adjustRightInd w:val="0"/>
              <w:snapToGrid w:val="0"/>
              <w:spacing w:before="60" w:after="60"/>
              <w:jc w:val="both"/>
              <w:rPr>
                <w:rFonts w:cs="Times New Roman"/>
                <w:color w:val="000000"/>
                <w:sz w:val="22"/>
              </w:rPr>
            </w:pPr>
            <w:r w:rsidRPr="00E14DE7">
              <w:rPr>
                <w:rFonts w:cs="Times New Roman"/>
                <w:color w:val="000000"/>
                <w:sz w:val="22"/>
              </w:rPr>
              <w:t>Article 36</w:t>
            </w:r>
          </w:p>
          <w:p w14:paraId="24BFAC52" w14:textId="1A3D5B61" w:rsidR="0058624D" w:rsidRPr="00E14DE7" w:rsidRDefault="00381D48" w:rsidP="00C301A3">
            <w:pPr>
              <w:widowControl w:val="0"/>
              <w:adjustRightInd w:val="0"/>
              <w:snapToGrid w:val="0"/>
              <w:spacing w:before="60" w:after="60"/>
              <w:jc w:val="both"/>
              <w:rPr>
                <w:rFonts w:cs="Times New Roman"/>
                <w:color w:val="000000"/>
                <w:sz w:val="22"/>
              </w:rPr>
            </w:pPr>
            <w:r w:rsidRPr="00E14DE7">
              <w:rPr>
                <w:rFonts w:cs="Times New Roman"/>
                <w:color w:val="000000"/>
                <w:sz w:val="22"/>
              </w:rPr>
              <w:t xml:space="preserve">3. Monitor Petrolimex’s financial position, compliance of the laws, the Charter </w:t>
            </w:r>
            <w:r w:rsidRPr="00E14DE7">
              <w:rPr>
                <w:rFonts w:cs="Times New Roman"/>
                <w:color w:val="000000"/>
                <w:sz w:val="22"/>
                <w:u w:val="single"/>
              </w:rPr>
              <w:t>and internal regulations of Petrolimex</w:t>
            </w:r>
            <w:r w:rsidRPr="00E14DE7">
              <w:rPr>
                <w:rFonts w:cs="Times New Roman"/>
                <w:color w:val="000000"/>
                <w:sz w:val="22"/>
              </w:rPr>
              <w:t xml:space="preserve"> in operations of the members of Board of Management, the General Director and other managers.</w:t>
            </w:r>
          </w:p>
        </w:tc>
        <w:tc>
          <w:tcPr>
            <w:tcW w:w="1033" w:type="pct"/>
          </w:tcPr>
          <w:p w14:paraId="684280FB" w14:textId="132E47F4" w:rsidR="0058624D" w:rsidRPr="00E14DE7" w:rsidRDefault="0058624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The supplemented contents aim to be consistent with Article 39, clause 3 of the 2026 Draft Charter.</w:t>
            </w:r>
          </w:p>
        </w:tc>
      </w:tr>
      <w:tr w:rsidR="00C301A3" w:rsidRPr="00E14DE7" w14:paraId="39A5FEED" w14:textId="77777777" w:rsidTr="00EB2EA0">
        <w:trPr>
          <w:trHeight w:val="20"/>
        </w:trPr>
        <w:tc>
          <w:tcPr>
            <w:tcW w:w="215" w:type="pct"/>
          </w:tcPr>
          <w:p w14:paraId="730CD58A" w14:textId="77777777" w:rsidR="0058624D" w:rsidRPr="00E14DE7" w:rsidRDefault="0058624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4E690B70" w14:textId="2C7104FF" w:rsidR="0058624D" w:rsidRPr="00E14DE7" w:rsidRDefault="0058624D" w:rsidP="00C301A3">
            <w:pPr>
              <w:widowControl w:val="0"/>
              <w:adjustRightInd w:val="0"/>
              <w:snapToGrid w:val="0"/>
              <w:spacing w:before="60" w:after="60"/>
              <w:rPr>
                <w:rFonts w:cs="Times New Roman"/>
                <w:sz w:val="22"/>
              </w:rPr>
            </w:pPr>
            <w:r w:rsidRPr="00E14DE7">
              <w:rPr>
                <w:rFonts w:cs="Times New Roman"/>
                <w:color w:val="000000" w:themeColor="text1"/>
                <w:sz w:val="22"/>
              </w:rPr>
              <w:t>Article 37, Clause 1</w:t>
            </w:r>
          </w:p>
        </w:tc>
        <w:tc>
          <w:tcPr>
            <w:tcW w:w="1167" w:type="pct"/>
          </w:tcPr>
          <w:p w14:paraId="2EE8AEB7" w14:textId="58BFA4B4" w:rsidR="0058624D" w:rsidRPr="00E14DE7" w:rsidRDefault="008E4070"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1. The maximum number of Petrolimex Supervisors is 5 persons. Term of the Supervisor is not over five (5) years; the Supervisor may be re-elected with unlimited terms.</w:t>
            </w:r>
          </w:p>
        </w:tc>
        <w:tc>
          <w:tcPr>
            <w:tcW w:w="2011" w:type="pct"/>
          </w:tcPr>
          <w:p w14:paraId="255F1245" w14:textId="048D2B2A" w:rsidR="008E4070" w:rsidRPr="00E14DE7" w:rsidRDefault="008E4070"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Article 38</w:t>
            </w:r>
          </w:p>
          <w:p w14:paraId="2F8372F4" w14:textId="4B1E7E75" w:rsidR="0058624D" w:rsidRPr="00E14DE7" w:rsidRDefault="008E4070"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 xml:space="preserve">1. The maximum number of Petrolimex Supervisors is 5 persons. Term of the Supervisor is not over five (5) years; the Supervisor may be re-elected with unlimited terms. </w:t>
            </w:r>
            <w:r w:rsidRPr="00E14DE7">
              <w:rPr>
                <w:rFonts w:cs="Times New Roman"/>
                <w:color w:val="000000"/>
                <w:sz w:val="22"/>
                <w:u w:val="single"/>
              </w:rPr>
              <w:t>The Supervisory Board must have more than a half of the members residing in Vietnam.</w:t>
            </w:r>
          </w:p>
        </w:tc>
        <w:tc>
          <w:tcPr>
            <w:tcW w:w="1033" w:type="pct"/>
          </w:tcPr>
          <w:p w14:paraId="60DDD7A0" w14:textId="7DA4FCD2" w:rsidR="0058624D" w:rsidRPr="00E14DE7" w:rsidRDefault="0058624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The supplemented contents aim to be consistent with Article 37, clause 1 of the 2026 Draft Charter.</w:t>
            </w:r>
          </w:p>
        </w:tc>
      </w:tr>
      <w:tr w:rsidR="00C301A3" w:rsidRPr="00E14DE7" w14:paraId="074F15FD" w14:textId="77777777" w:rsidTr="00EB2EA0">
        <w:trPr>
          <w:trHeight w:val="20"/>
        </w:trPr>
        <w:tc>
          <w:tcPr>
            <w:tcW w:w="215" w:type="pct"/>
          </w:tcPr>
          <w:p w14:paraId="09417A98" w14:textId="77777777" w:rsidR="0058624D" w:rsidRPr="00E14DE7" w:rsidRDefault="0058624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3008C86D" w14:textId="21F0D486" w:rsidR="0058624D" w:rsidRPr="00E14DE7" w:rsidRDefault="0058624D" w:rsidP="00C301A3">
            <w:pPr>
              <w:widowControl w:val="0"/>
              <w:adjustRightInd w:val="0"/>
              <w:snapToGrid w:val="0"/>
              <w:spacing w:before="60" w:after="60"/>
              <w:rPr>
                <w:rFonts w:cs="Times New Roman"/>
                <w:color w:val="000000" w:themeColor="text1"/>
                <w:sz w:val="22"/>
              </w:rPr>
            </w:pPr>
            <w:r w:rsidRPr="00E14DE7">
              <w:rPr>
                <w:rFonts w:cs="Times New Roman"/>
                <w:color w:val="000000" w:themeColor="text1"/>
                <w:sz w:val="22"/>
              </w:rPr>
              <w:t>Article 38, Clause 3</w:t>
            </w:r>
          </w:p>
        </w:tc>
        <w:tc>
          <w:tcPr>
            <w:tcW w:w="1167" w:type="pct"/>
          </w:tcPr>
          <w:p w14:paraId="5BFDC1B5" w14:textId="4B7C2337" w:rsidR="0058624D" w:rsidRPr="00E14DE7" w:rsidRDefault="00C4321F" w:rsidP="00C301A3">
            <w:pPr>
              <w:widowControl w:val="0"/>
              <w:adjustRightInd w:val="0"/>
              <w:snapToGrid w:val="0"/>
              <w:spacing w:before="60" w:after="60"/>
              <w:jc w:val="both"/>
              <w:rPr>
                <w:rFonts w:cs="Times New Roman"/>
                <w:color w:val="000000"/>
                <w:sz w:val="22"/>
              </w:rPr>
            </w:pPr>
            <w:r w:rsidRPr="00E14DE7">
              <w:rPr>
                <w:rFonts w:cs="Times New Roman"/>
                <w:color w:val="000000"/>
                <w:sz w:val="22"/>
              </w:rPr>
              <w:t xml:space="preserve">3. In the event that the number of nominated candidates to the Supervisory Board is still insufficient for the quorum, the concurrent Supervisory Board may further appoint a candidate or conduct the election in accordance with the Charter, Internal Governance Regulations of Petrolimex and Operation </w:t>
            </w:r>
            <w:r w:rsidRPr="00E14DE7">
              <w:rPr>
                <w:rFonts w:cs="Times New Roman"/>
                <w:color w:val="000000"/>
                <w:sz w:val="22"/>
              </w:rPr>
              <w:lastRenderedPageBreak/>
              <w:t>Regulations of the Supervisory Board. The concurrent Supervisory Board’s nomination of additional candidate must be clearly announced before the Supervisor is voted and elected by the General Meeting of Shareholders as prescribed by the laws.</w:t>
            </w:r>
          </w:p>
        </w:tc>
        <w:tc>
          <w:tcPr>
            <w:tcW w:w="2011" w:type="pct"/>
          </w:tcPr>
          <w:p w14:paraId="63490B70" w14:textId="45B05FBA" w:rsidR="00295A78" w:rsidRPr="00E14DE7" w:rsidRDefault="00295A78" w:rsidP="00C301A3">
            <w:pPr>
              <w:widowControl w:val="0"/>
              <w:adjustRightInd w:val="0"/>
              <w:snapToGrid w:val="0"/>
              <w:spacing w:before="60" w:after="60"/>
              <w:jc w:val="both"/>
              <w:rPr>
                <w:rFonts w:cs="Times New Roman"/>
                <w:color w:val="000000"/>
                <w:sz w:val="22"/>
              </w:rPr>
            </w:pPr>
            <w:r w:rsidRPr="00E14DE7">
              <w:rPr>
                <w:rFonts w:cs="Times New Roman"/>
                <w:color w:val="000000"/>
                <w:sz w:val="22"/>
              </w:rPr>
              <w:lastRenderedPageBreak/>
              <w:t>Article 39</w:t>
            </w:r>
          </w:p>
          <w:p w14:paraId="30FD1ADD" w14:textId="1355F9EC" w:rsidR="0058624D" w:rsidRPr="00E14DE7" w:rsidRDefault="00C4321F" w:rsidP="00C301A3">
            <w:pPr>
              <w:widowControl w:val="0"/>
              <w:adjustRightInd w:val="0"/>
              <w:snapToGrid w:val="0"/>
              <w:spacing w:before="60" w:after="60"/>
              <w:jc w:val="both"/>
              <w:rPr>
                <w:rFonts w:cs="Times New Roman"/>
                <w:color w:val="000000"/>
                <w:sz w:val="22"/>
              </w:rPr>
            </w:pPr>
            <w:r w:rsidRPr="00E14DE7">
              <w:rPr>
                <w:rFonts w:cs="Times New Roman"/>
                <w:color w:val="000000"/>
                <w:sz w:val="22"/>
              </w:rPr>
              <w:t xml:space="preserve">3. In the event that the number of nominated candidates to the Supervisory Board is still insufficient for the quorum, the concurrent Supervisory Board may further appoint a candidate or conduct the election in accordance with the Charter, Internal Governance Regulations of Petrolimex and Operation Regulations of the Supervisory Board. The concurrent Supervisory Board’s nomination of additional candidate must be clearly announced before the Supervisor is voted and elected by the General Meeting of </w:t>
            </w:r>
            <w:r w:rsidRPr="00E14DE7">
              <w:rPr>
                <w:rFonts w:cs="Times New Roman"/>
                <w:color w:val="000000"/>
                <w:sz w:val="22"/>
              </w:rPr>
              <w:lastRenderedPageBreak/>
              <w:t xml:space="preserve">Shareholders as prescribed by the laws, the </w:t>
            </w:r>
            <w:r w:rsidRPr="00E14DE7">
              <w:rPr>
                <w:rFonts w:cs="Times New Roman"/>
                <w:color w:val="000000"/>
                <w:sz w:val="22"/>
                <w:u w:val="single"/>
              </w:rPr>
              <w:t>Charter and the internal regulations of Petrolimex.</w:t>
            </w:r>
          </w:p>
        </w:tc>
        <w:tc>
          <w:tcPr>
            <w:tcW w:w="1033" w:type="pct"/>
          </w:tcPr>
          <w:p w14:paraId="78FC6F84" w14:textId="6A32E889" w:rsidR="0058624D" w:rsidRPr="00E14DE7" w:rsidRDefault="0058624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lastRenderedPageBreak/>
              <w:t>The supplemented contents aim to be consistent with Article 36, clause 3 of the 2026 Draft Charter.</w:t>
            </w:r>
          </w:p>
        </w:tc>
      </w:tr>
      <w:tr w:rsidR="00C301A3" w:rsidRPr="00E14DE7" w14:paraId="5FFE0704" w14:textId="77777777" w:rsidTr="00EB2EA0">
        <w:trPr>
          <w:trHeight w:val="20"/>
        </w:trPr>
        <w:tc>
          <w:tcPr>
            <w:tcW w:w="215" w:type="pct"/>
          </w:tcPr>
          <w:p w14:paraId="2D68ED30" w14:textId="77777777" w:rsidR="0058624D" w:rsidRPr="00E14DE7" w:rsidRDefault="0058624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2D6014EB" w14:textId="150F47A5" w:rsidR="0058624D" w:rsidRPr="00E14DE7" w:rsidRDefault="0058624D" w:rsidP="00C301A3">
            <w:pPr>
              <w:widowControl w:val="0"/>
              <w:adjustRightInd w:val="0"/>
              <w:snapToGrid w:val="0"/>
              <w:spacing w:before="60" w:after="60"/>
              <w:rPr>
                <w:rFonts w:cs="Times New Roman"/>
                <w:color w:val="000000" w:themeColor="text1"/>
                <w:sz w:val="22"/>
              </w:rPr>
            </w:pPr>
            <w:r w:rsidRPr="00E14DE7">
              <w:rPr>
                <w:rFonts w:cs="Times New Roman"/>
                <w:sz w:val="22"/>
              </w:rPr>
              <w:t>Article 43, Clause 11</w:t>
            </w:r>
          </w:p>
        </w:tc>
        <w:tc>
          <w:tcPr>
            <w:tcW w:w="1167" w:type="pct"/>
          </w:tcPr>
          <w:p w14:paraId="5A0F43FA" w14:textId="063C46A8" w:rsidR="0058624D" w:rsidRPr="00E14DE7" w:rsidRDefault="0058624D" w:rsidP="00C301A3">
            <w:pPr>
              <w:widowControl w:val="0"/>
              <w:adjustRightInd w:val="0"/>
              <w:snapToGrid w:val="0"/>
              <w:spacing w:before="60" w:after="60"/>
              <w:jc w:val="both"/>
              <w:rPr>
                <w:rFonts w:cs="Times New Roman"/>
                <w:bCs/>
                <w:color w:val="000000"/>
                <w:sz w:val="22"/>
              </w:rPr>
            </w:pPr>
            <w:r w:rsidRPr="00E14DE7">
              <w:rPr>
                <w:rFonts w:cs="Times New Roman"/>
                <w:sz w:val="22"/>
              </w:rPr>
              <w:t>11. Other rights and obligations as prescribed by the laws, the Company's Charter, the resolutions and decisions of the Board of Management.</w:t>
            </w:r>
          </w:p>
        </w:tc>
        <w:tc>
          <w:tcPr>
            <w:tcW w:w="2011" w:type="pct"/>
          </w:tcPr>
          <w:p w14:paraId="2502C65A" w14:textId="4D6E2201" w:rsidR="00910366" w:rsidRPr="00E14DE7" w:rsidRDefault="00910366" w:rsidP="00C301A3">
            <w:pPr>
              <w:widowControl w:val="0"/>
              <w:adjustRightInd w:val="0"/>
              <w:snapToGrid w:val="0"/>
              <w:spacing w:before="60" w:after="60"/>
              <w:jc w:val="both"/>
              <w:rPr>
                <w:rFonts w:cs="Times New Roman"/>
                <w:noProof/>
                <w:sz w:val="22"/>
              </w:rPr>
            </w:pPr>
            <w:r w:rsidRPr="00E14DE7">
              <w:rPr>
                <w:rFonts w:cs="Times New Roman"/>
                <w:sz w:val="22"/>
              </w:rPr>
              <w:t>Article 44</w:t>
            </w:r>
          </w:p>
          <w:p w14:paraId="16AFA809" w14:textId="61D43504" w:rsidR="0058624D" w:rsidRPr="00E14DE7" w:rsidRDefault="0058624D" w:rsidP="00C301A3">
            <w:pPr>
              <w:widowControl w:val="0"/>
              <w:adjustRightInd w:val="0"/>
              <w:snapToGrid w:val="0"/>
              <w:spacing w:before="60" w:after="60"/>
              <w:jc w:val="both"/>
              <w:rPr>
                <w:rFonts w:cs="Times New Roman"/>
                <w:bCs/>
                <w:color w:val="000000"/>
                <w:sz w:val="22"/>
              </w:rPr>
            </w:pPr>
            <w:r w:rsidRPr="00E14DE7">
              <w:rPr>
                <w:rFonts w:cs="Times New Roman"/>
                <w:sz w:val="22"/>
              </w:rPr>
              <w:t>11. Other rights and obligations as prescribed by the laws, Petrolimex’s Charter,</w:t>
            </w:r>
            <w:r w:rsidRPr="00E14DE7">
              <w:rPr>
                <w:rFonts w:cs="Times New Roman"/>
                <w:sz w:val="22"/>
                <w:u w:val="single"/>
              </w:rPr>
              <w:t xml:space="preserve"> the internal regulations</w:t>
            </w:r>
            <w:r w:rsidRPr="00E14DE7">
              <w:rPr>
                <w:rFonts w:cs="Times New Roman"/>
                <w:sz w:val="22"/>
              </w:rPr>
              <w:t>, resolutions and decisions of the Board of Management.</w:t>
            </w:r>
          </w:p>
        </w:tc>
        <w:tc>
          <w:tcPr>
            <w:tcW w:w="1033" w:type="pct"/>
          </w:tcPr>
          <w:p w14:paraId="6BCE2F6B" w14:textId="1CBA4A8B" w:rsidR="0058624D" w:rsidRPr="00E14DE7" w:rsidRDefault="0058624D" w:rsidP="00C301A3">
            <w:pPr>
              <w:widowControl w:val="0"/>
              <w:adjustRightInd w:val="0"/>
              <w:snapToGrid w:val="0"/>
              <w:spacing w:before="60" w:after="60"/>
              <w:jc w:val="both"/>
              <w:rPr>
                <w:rFonts w:cs="Times New Roman"/>
                <w:color w:val="000000" w:themeColor="text1"/>
                <w:sz w:val="22"/>
              </w:rPr>
            </w:pPr>
            <w:r w:rsidRPr="00E14DE7">
              <w:rPr>
                <w:rFonts w:cs="Times New Roman"/>
                <w:sz w:val="22"/>
              </w:rPr>
              <w:t>Add because point l, clause 5, Article 35 of the 2025 Charter and the 2026 Draft Charter” specify that: The General Director has “</w:t>
            </w:r>
            <w:r w:rsidRPr="00E14DE7">
              <w:rPr>
                <w:rFonts w:cs="Times New Roman"/>
                <w:i/>
                <w:iCs/>
                <w:sz w:val="22"/>
              </w:rPr>
              <w:t>other rights and obligations as prescribed by the laws,</w:t>
            </w:r>
            <w:r w:rsidRPr="00E14DE7">
              <w:rPr>
                <w:rFonts w:cs="Times New Roman"/>
                <w:i/>
                <w:iCs/>
                <w:sz w:val="22"/>
                <w:u w:val="single"/>
              </w:rPr>
              <w:t xml:space="preserve"> Petrolimex’s regulations</w:t>
            </w:r>
            <w:r w:rsidRPr="00E14DE7">
              <w:rPr>
                <w:rFonts w:cs="Times New Roman"/>
                <w:i/>
                <w:iCs/>
                <w:sz w:val="22"/>
              </w:rPr>
              <w:t>, the resolutions and decisions of the Board of Management</w:t>
            </w:r>
            <w:r w:rsidRPr="00E14DE7">
              <w:rPr>
                <w:rFonts w:cs="Times New Roman"/>
                <w:sz w:val="22"/>
              </w:rPr>
              <w:t>”.</w:t>
            </w:r>
          </w:p>
        </w:tc>
      </w:tr>
      <w:tr w:rsidR="00C301A3" w:rsidRPr="00E14DE7" w14:paraId="08062BD7" w14:textId="77777777" w:rsidTr="00EB2EA0">
        <w:trPr>
          <w:trHeight w:val="20"/>
        </w:trPr>
        <w:tc>
          <w:tcPr>
            <w:tcW w:w="215" w:type="pct"/>
          </w:tcPr>
          <w:p w14:paraId="5A8A5F8F" w14:textId="77777777" w:rsidR="0058624D" w:rsidRPr="00E14DE7" w:rsidRDefault="0058624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0980CCAA" w14:textId="11B0F307" w:rsidR="0058624D" w:rsidRPr="00E14DE7" w:rsidRDefault="0058624D" w:rsidP="00C301A3">
            <w:pPr>
              <w:widowControl w:val="0"/>
              <w:adjustRightInd w:val="0"/>
              <w:snapToGrid w:val="0"/>
              <w:spacing w:before="60" w:after="60"/>
              <w:rPr>
                <w:rFonts w:cs="Times New Roman"/>
                <w:color w:val="000000" w:themeColor="text1"/>
                <w:sz w:val="22"/>
              </w:rPr>
            </w:pPr>
            <w:r w:rsidRPr="00E14DE7">
              <w:rPr>
                <w:rFonts w:cs="Times New Roman"/>
                <w:color w:val="000000" w:themeColor="text1"/>
                <w:sz w:val="22"/>
              </w:rPr>
              <w:t>Article 44, Clause 3</w:t>
            </w:r>
          </w:p>
        </w:tc>
        <w:tc>
          <w:tcPr>
            <w:tcW w:w="1167" w:type="pct"/>
          </w:tcPr>
          <w:p w14:paraId="2D3855D3" w14:textId="6BE62C03" w:rsidR="0058624D" w:rsidRPr="00E14DE7" w:rsidRDefault="00D849B5" w:rsidP="007E0B84">
            <w:pPr>
              <w:widowControl w:val="0"/>
              <w:adjustRightInd w:val="0"/>
              <w:snapToGrid w:val="0"/>
              <w:spacing w:before="60" w:after="60"/>
              <w:jc w:val="both"/>
              <w:rPr>
                <w:rFonts w:cs="Times New Roman"/>
                <w:bCs/>
                <w:color w:val="000000"/>
                <w:sz w:val="22"/>
              </w:rPr>
            </w:pPr>
            <w:r w:rsidRPr="00E14DE7">
              <w:rPr>
                <w:rFonts w:cs="Times New Roman"/>
                <w:color w:val="000000"/>
                <w:sz w:val="22"/>
              </w:rPr>
              <w:t>3. Term of the General Director is not over five (5) years; the General Director may be re-elected.</w:t>
            </w:r>
          </w:p>
        </w:tc>
        <w:tc>
          <w:tcPr>
            <w:tcW w:w="2011" w:type="pct"/>
          </w:tcPr>
          <w:p w14:paraId="1C2EF0D9" w14:textId="0A4D0E60" w:rsidR="00D849B5" w:rsidRPr="00E14DE7" w:rsidRDefault="00D849B5"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Article 45</w:t>
            </w:r>
          </w:p>
          <w:p w14:paraId="65413EBD" w14:textId="7833634D" w:rsidR="0058624D" w:rsidRPr="00E14DE7" w:rsidRDefault="00D849B5" w:rsidP="007E0B84">
            <w:pPr>
              <w:widowControl w:val="0"/>
              <w:adjustRightInd w:val="0"/>
              <w:snapToGrid w:val="0"/>
              <w:spacing w:before="60" w:after="60"/>
              <w:jc w:val="both"/>
              <w:rPr>
                <w:rFonts w:cs="Times New Roman"/>
                <w:bCs/>
                <w:color w:val="000000"/>
                <w:sz w:val="22"/>
                <w:highlight w:val="yellow"/>
              </w:rPr>
            </w:pPr>
            <w:r w:rsidRPr="00E14DE7">
              <w:rPr>
                <w:rFonts w:cs="Times New Roman"/>
                <w:color w:val="000000"/>
                <w:sz w:val="22"/>
              </w:rPr>
              <w:t xml:space="preserve">3. Term of the General Director is not over five (5) years; the General Director may be re-elected. </w:t>
            </w:r>
            <w:r w:rsidRPr="00E14DE7">
              <w:rPr>
                <w:rFonts w:cs="Times New Roman"/>
                <w:color w:val="000000"/>
                <w:sz w:val="22"/>
                <w:u w:val="single"/>
              </w:rPr>
              <w:t>The General Director must be qualified with the eligibility and criteria as prescribed by the laws and the regulations of Petrolimex.</w:t>
            </w:r>
          </w:p>
        </w:tc>
        <w:tc>
          <w:tcPr>
            <w:tcW w:w="1033" w:type="pct"/>
          </w:tcPr>
          <w:p w14:paraId="1310D69E" w14:textId="0C256911" w:rsidR="0058624D" w:rsidRPr="00E14DE7" w:rsidRDefault="0058624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The supplemented contents aim to be consistent with Article 35, clause 3 of the 2026 Draft Charter.</w:t>
            </w:r>
          </w:p>
        </w:tc>
      </w:tr>
      <w:tr w:rsidR="00C301A3" w:rsidRPr="00E14DE7" w14:paraId="3A38F536" w14:textId="77777777" w:rsidTr="00EB2EA0">
        <w:trPr>
          <w:trHeight w:val="20"/>
        </w:trPr>
        <w:tc>
          <w:tcPr>
            <w:tcW w:w="215" w:type="pct"/>
          </w:tcPr>
          <w:p w14:paraId="53F66582" w14:textId="77777777" w:rsidR="0058624D" w:rsidRPr="00E14DE7" w:rsidRDefault="0058624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2EA102C5" w14:textId="7489FFFB" w:rsidR="0058624D" w:rsidRPr="00E14DE7" w:rsidRDefault="0058624D" w:rsidP="00C301A3">
            <w:pPr>
              <w:widowControl w:val="0"/>
              <w:adjustRightInd w:val="0"/>
              <w:snapToGrid w:val="0"/>
              <w:spacing w:before="60" w:after="60"/>
              <w:rPr>
                <w:rFonts w:cs="Times New Roman"/>
                <w:color w:val="000000" w:themeColor="text1"/>
                <w:sz w:val="22"/>
              </w:rPr>
            </w:pPr>
            <w:r w:rsidRPr="00E14DE7">
              <w:rPr>
                <w:rFonts w:cs="Times New Roman"/>
                <w:sz w:val="22"/>
              </w:rPr>
              <w:t>Article 46, Clause 3</w:t>
            </w:r>
          </w:p>
        </w:tc>
        <w:tc>
          <w:tcPr>
            <w:tcW w:w="1167" w:type="pct"/>
          </w:tcPr>
          <w:p w14:paraId="71F41189" w14:textId="6D2E3A3D" w:rsidR="0058624D" w:rsidRPr="00E14DE7" w:rsidRDefault="0058624D" w:rsidP="00C301A3">
            <w:pPr>
              <w:widowControl w:val="0"/>
              <w:adjustRightInd w:val="0"/>
              <w:snapToGrid w:val="0"/>
              <w:spacing w:before="60" w:after="60"/>
              <w:jc w:val="both"/>
              <w:rPr>
                <w:rFonts w:cs="Times New Roman"/>
                <w:bCs/>
                <w:color w:val="000000"/>
                <w:sz w:val="22"/>
              </w:rPr>
            </w:pPr>
            <w:r w:rsidRPr="00E14DE7">
              <w:rPr>
                <w:rFonts w:cs="Times New Roman"/>
                <w:sz w:val="22"/>
              </w:rPr>
              <w:t>3. When duty re-assignment is made among the BOM members, the members must handover the relevant duties and records in writing.</w:t>
            </w:r>
          </w:p>
        </w:tc>
        <w:tc>
          <w:tcPr>
            <w:tcW w:w="2011" w:type="pct"/>
          </w:tcPr>
          <w:p w14:paraId="175C29D4" w14:textId="24A27624" w:rsidR="007E5895" w:rsidRPr="00E14DE7" w:rsidRDefault="007E5895" w:rsidP="00C301A3">
            <w:pPr>
              <w:widowControl w:val="0"/>
              <w:adjustRightInd w:val="0"/>
              <w:snapToGrid w:val="0"/>
              <w:spacing w:before="60" w:after="60"/>
              <w:jc w:val="both"/>
              <w:rPr>
                <w:rFonts w:cs="Times New Roman"/>
                <w:noProof/>
                <w:sz w:val="22"/>
              </w:rPr>
            </w:pPr>
            <w:r w:rsidRPr="00E14DE7">
              <w:rPr>
                <w:rFonts w:cs="Times New Roman"/>
                <w:sz w:val="22"/>
              </w:rPr>
              <w:t>Article 47</w:t>
            </w:r>
          </w:p>
          <w:p w14:paraId="3B51AA08" w14:textId="30B47E40" w:rsidR="0058624D" w:rsidRPr="00E14DE7" w:rsidRDefault="0058624D" w:rsidP="00C301A3">
            <w:pPr>
              <w:widowControl w:val="0"/>
              <w:adjustRightInd w:val="0"/>
              <w:snapToGrid w:val="0"/>
              <w:spacing w:before="60" w:after="60"/>
              <w:jc w:val="both"/>
              <w:rPr>
                <w:rFonts w:cs="Times New Roman"/>
                <w:bCs/>
                <w:color w:val="000000"/>
                <w:sz w:val="22"/>
              </w:rPr>
            </w:pPr>
            <w:r w:rsidRPr="00E14DE7">
              <w:rPr>
                <w:rFonts w:cs="Times New Roman"/>
                <w:sz w:val="22"/>
              </w:rPr>
              <w:t xml:space="preserve">3. When duty re-assignment is made among the BOM members, the members must handover the relevant duties In writing and records </w:t>
            </w:r>
            <w:r w:rsidRPr="00E14DE7">
              <w:rPr>
                <w:rFonts w:cs="Times New Roman"/>
                <w:strike/>
                <w:sz w:val="22"/>
              </w:rPr>
              <w:t xml:space="preserve">in writing </w:t>
            </w:r>
            <w:r w:rsidRPr="00E14DE7">
              <w:rPr>
                <w:rFonts w:cs="Times New Roman"/>
                <w:sz w:val="22"/>
                <w:u w:val="single"/>
              </w:rPr>
              <w:t>and prepare the handover minutes.</w:t>
            </w:r>
            <w:r w:rsidRPr="00E14DE7">
              <w:rPr>
                <w:rFonts w:cs="Times New Roman"/>
                <w:sz w:val="22"/>
              </w:rPr>
              <w:t xml:space="preserve"> </w:t>
            </w:r>
            <w:r w:rsidRPr="00E14DE7">
              <w:rPr>
                <w:rFonts w:cs="Times New Roman"/>
                <w:sz w:val="22"/>
                <w:u w:val="single"/>
              </w:rPr>
              <w:t>Such handover must be made into writing and reported to the Chairman of the Board of Management for acknowledgment</w:t>
            </w:r>
            <w:r w:rsidRPr="00E14DE7">
              <w:rPr>
                <w:rFonts w:cs="Times New Roman"/>
                <w:sz w:val="22"/>
              </w:rPr>
              <w:t>.</w:t>
            </w:r>
          </w:p>
        </w:tc>
        <w:tc>
          <w:tcPr>
            <w:tcW w:w="1033" w:type="pct"/>
          </w:tcPr>
          <w:p w14:paraId="5B002684" w14:textId="77777777" w:rsidR="0058624D" w:rsidRPr="00E14DE7" w:rsidRDefault="0058624D" w:rsidP="00C301A3">
            <w:pPr>
              <w:jc w:val="both"/>
              <w:rPr>
                <w:rFonts w:cs="Times New Roman"/>
                <w:noProof/>
                <w:sz w:val="22"/>
              </w:rPr>
            </w:pPr>
            <w:r w:rsidRPr="00E14DE7">
              <w:rPr>
                <w:rFonts w:cs="Times New Roman"/>
                <w:sz w:val="22"/>
              </w:rPr>
              <w:t>1. Supplement “</w:t>
            </w:r>
            <w:r w:rsidRPr="00E14DE7">
              <w:rPr>
                <w:rFonts w:cs="Times New Roman"/>
                <w:i/>
                <w:iCs/>
                <w:sz w:val="22"/>
              </w:rPr>
              <w:t>and prepare the handover minutes</w:t>
            </w:r>
            <w:r w:rsidRPr="00E14DE7">
              <w:rPr>
                <w:rFonts w:cs="Times New Roman"/>
                <w:sz w:val="22"/>
              </w:rPr>
              <w:t>” to specify the more complete and understandable meanings than that of the old regulation.</w:t>
            </w:r>
          </w:p>
          <w:p w14:paraId="2FD26EAB" w14:textId="77777777" w:rsidR="0058624D" w:rsidRPr="00E14DE7" w:rsidRDefault="0058624D" w:rsidP="00C301A3">
            <w:pPr>
              <w:jc w:val="both"/>
              <w:rPr>
                <w:rFonts w:cs="Times New Roman"/>
                <w:noProof/>
                <w:sz w:val="22"/>
              </w:rPr>
            </w:pPr>
          </w:p>
          <w:p w14:paraId="46F4D916" w14:textId="1E83FCA0" w:rsidR="0058624D" w:rsidRPr="00E14DE7" w:rsidRDefault="0058624D" w:rsidP="00C301A3">
            <w:pPr>
              <w:widowControl w:val="0"/>
              <w:adjustRightInd w:val="0"/>
              <w:snapToGrid w:val="0"/>
              <w:spacing w:before="60" w:after="60"/>
              <w:jc w:val="both"/>
              <w:rPr>
                <w:rFonts w:cs="Times New Roman"/>
                <w:color w:val="000000" w:themeColor="text1"/>
                <w:sz w:val="22"/>
              </w:rPr>
            </w:pPr>
            <w:r w:rsidRPr="00E14DE7">
              <w:rPr>
                <w:rFonts w:cs="Times New Roman"/>
                <w:sz w:val="22"/>
              </w:rPr>
              <w:t xml:space="preserve">2. Supplement the sentence: </w:t>
            </w:r>
            <w:r w:rsidRPr="00E14DE7">
              <w:rPr>
                <w:rFonts w:cs="Times New Roman"/>
                <w:i/>
                <w:sz w:val="22"/>
              </w:rPr>
              <w:t xml:space="preserve">“Such handover must be </w:t>
            </w:r>
            <w:r w:rsidRPr="00E14DE7">
              <w:rPr>
                <w:rFonts w:cs="Times New Roman"/>
                <w:i/>
                <w:sz w:val="22"/>
              </w:rPr>
              <w:lastRenderedPageBreak/>
              <w:t>made into writing and reported to the Chairman of the Board of Management for acknowledgment</w:t>
            </w:r>
            <w:r w:rsidRPr="00E14DE7">
              <w:rPr>
                <w:rFonts w:cs="Times New Roman"/>
                <w:sz w:val="22"/>
              </w:rPr>
              <w:t>.”: Add to be well matched with the Draft Operation Regulations of the Board of Management (Article 27, Clause 3).</w:t>
            </w:r>
          </w:p>
        </w:tc>
      </w:tr>
      <w:tr w:rsidR="00C301A3" w:rsidRPr="00E14DE7" w14:paraId="3CFCA1DC" w14:textId="77777777" w:rsidTr="00EB2EA0">
        <w:trPr>
          <w:trHeight w:val="20"/>
        </w:trPr>
        <w:tc>
          <w:tcPr>
            <w:tcW w:w="215" w:type="pct"/>
          </w:tcPr>
          <w:p w14:paraId="39A04EE8" w14:textId="77777777" w:rsidR="003445AD" w:rsidRPr="00E14DE7" w:rsidRDefault="003445A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55FFD9E5" w14:textId="785173CF" w:rsidR="003445AD" w:rsidRPr="00E14DE7" w:rsidRDefault="003445AD" w:rsidP="00C301A3">
            <w:pPr>
              <w:widowControl w:val="0"/>
              <w:adjustRightInd w:val="0"/>
              <w:snapToGrid w:val="0"/>
              <w:spacing w:before="60" w:after="60"/>
              <w:rPr>
                <w:rFonts w:cs="Times New Roman"/>
                <w:color w:val="000000" w:themeColor="text1"/>
                <w:sz w:val="22"/>
              </w:rPr>
            </w:pPr>
            <w:r w:rsidRPr="00E14DE7">
              <w:rPr>
                <w:rFonts w:cs="Times New Roman"/>
                <w:color w:val="000000" w:themeColor="text1"/>
                <w:sz w:val="22"/>
              </w:rPr>
              <w:t>Article 49</w:t>
            </w:r>
          </w:p>
        </w:tc>
        <w:tc>
          <w:tcPr>
            <w:tcW w:w="1167" w:type="pct"/>
          </w:tcPr>
          <w:p w14:paraId="53570832" w14:textId="27E3B66B" w:rsidR="003445AD" w:rsidRPr="00E14DE7" w:rsidRDefault="003445AD" w:rsidP="00C301A3">
            <w:pPr>
              <w:widowControl w:val="0"/>
              <w:adjustRightInd w:val="0"/>
              <w:snapToGrid w:val="0"/>
              <w:spacing w:before="60" w:after="60"/>
              <w:jc w:val="both"/>
              <w:rPr>
                <w:rFonts w:cs="Times New Roman"/>
                <w:bCs/>
                <w:i/>
                <w:iCs/>
                <w:color w:val="000000"/>
                <w:sz w:val="22"/>
              </w:rPr>
            </w:pPr>
            <w:r w:rsidRPr="00E14DE7">
              <w:rPr>
                <w:rFonts w:cs="Times New Roman"/>
                <w:i/>
                <w:color w:val="000000"/>
                <w:sz w:val="22"/>
              </w:rPr>
              <w:t>Not specified</w:t>
            </w:r>
          </w:p>
        </w:tc>
        <w:tc>
          <w:tcPr>
            <w:tcW w:w="2011" w:type="pct"/>
          </w:tcPr>
          <w:p w14:paraId="32E2B7BC" w14:textId="60AE3B00" w:rsidR="00E365AA" w:rsidRPr="00E14DE7" w:rsidRDefault="00E365AA"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Article 50</w:t>
            </w:r>
          </w:p>
          <w:p w14:paraId="0021B3E3" w14:textId="52F8EE81" w:rsidR="003445AD" w:rsidRPr="00E14DE7" w:rsidRDefault="003445AD" w:rsidP="00C301A3">
            <w:pPr>
              <w:widowControl w:val="0"/>
              <w:adjustRightInd w:val="0"/>
              <w:snapToGrid w:val="0"/>
              <w:spacing w:before="60" w:after="60"/>
              <w:jc w:val="both"/>
              <w:rPr>
                <w:rFonts w:cs="Times New Roman"/>
                <w:bCs/>
                <w:color w:val="000000"/>
                <w:sz w:val="22"/>
                <w:u w:val="single"/>
              </w:rPr>
            </w:pPr>
            <w:r w:rsidRPr="00E14DE7">
              <w:rPr>
                <w:rFonts w:cs="Times New Roman"/>
                <w:color w:val="000000"/>
                <w:sz w:val="22"/>
                <w:u w:val="single"/>
              </w:rPr>
              <w:t>6. Transactions between Petrolimex and one or more member of Board of Management, Supervisors, the General Director, other executives and their affiliated organizations and individuals shall not be invalid in following circumstances:</w:t>
            </w:r>
          </w:p>
          <w:p w14:paraId="27FECC48" w14:textId="77777777" w:rsidR="003445AD" w:rsidRPr="00E14DE7" w:rsidRDefault="003445AD" w:rsidP="00C301A3">
            <w:pPr>
              <w:widowControl w:val="0"/>
              <w:adjustRightInd w:val="0"/>
              <w:snapToGrid w:val="0"/>
              <w:spacing w:before="60" w:after="60"/>
              <w:jc w:val="both"/>
              <w:rPr>
                <w:rFonts w:cs="Times New Roman"/>
                <w:bCs/>
                <w:color w:val="000000"/>
                <w:sz w:val="22"/>
                <w:u w:val="single"/>
              </w:rPr>
            </w:pPr>
            <w:r w:rsidRPr="00E14DE7">
              <w:rPr>
                <w:rFonts w:cs="Times New Roman"/>
                <w:color w:val="000000"/>
                <w:sz w:val="22"/>
                <w:u w:val="single"/>
              </w:rPr>
              <w:t>a) For the transactions having value of equal to or less than 35% of total asset value recorded in the latest financial statements, the critical contents of the contract or transaction as well as relationship and benefits of the member of Board of Management, Supervisors, the General Director, and other Executives are reported to the Board of Management and approved by the Board of Management with majority of affirmative votes delivered by the member of Board of Management, having no relevant benefits;</w:t>
            </w:r>
          </w:p>
          <w:p w14:paraId="4CE2567B" w14:textId="74EF9E34" w:rsidR="003445AD" w:rsidRPr="00E14DE7" w:rsidRDefault="003445AD"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u w:val="single"/>
              </w:rPr>
              <w:t>b) For the transactions worth greater than 35% of transactions resulting in transaction value within 12 months since the date of first transaction having value of 35% of total assets recorded in the latest financial statements, the critical contents of such transactions as well as relationship and benefits of the member of Board of Management, Supervisors, the General Director and other Executives are disclosed to the shareholders and approved by votes of the shareholders having non-relevant benefits.</w:t>
            </w:r>
          </w:p>
        </w:tc>
        <w:tc>
          <w:tcPr>
            <w:tcW w:w="1033" w:type="pct"/>
          </w:tcPr>
          <w:p w14:paraId="221C913D" w14:textId="06218A2F" w:rsidR="003445AD" w:rsidRPr="00E14DE7" w:rsidRDefault="003445A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The supplemented contents aim to be consistent with Article 42, clause 6 of the 2026 Draft Charter.</w:t>
            </w:r>
          </w:p>
        </w:tc>
      </w:tr>
      <w:tr w:rsidR="00C301A3" w:rsidRPr="00E14DE7" w14:paraId="2B9CF3A2" w14:textId="77777777" w:rsidTr="00EB2EA0">
        <w:trPr>
          <w:trHeight w:val="20"/>
        </w:trPr>
        <w:tc>
          <w:tcPr>
            <w:tcW w:w="215" w:type="pct"/>
          </w:tcPr>
          <w:p w14:paraId="44A3601D" w14:textId="77777777" w:rsidR="003445AD" w:rsidRPr="00E14DE7" w:rsidRDefault="003445A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4AAB1A64" w14:textId="7494DEB1" w:rsidR="003445AD" w:rsidRPr="00E14DE7" w:rsidRDefault="003445AD" w:rsidP="00C301A3">
            <w:pPr>
              <w:widowControl w:val="0"/>
              <w:adjustRightInd w:val="0"/>
              <w:snapToGrid w:val="0"/>
              <w:spacing w:before="60" w:after="60"/>
              <w:rPr>
                <w:rFonts w:cs="Times New Roman"/>
                <w:color w:val="000000" w:themeColor="text1"/>
                <w:sz w:val="22"/>
              </w:rPr>
            </w:pPr>
            <w:r w:rsidRPr="00E14DE7">
              <w:rPr>
                <w:rFonts w:cs="Times New Roman"/>
                <w:sz w:val="22"/>
              </w:rPr>
              <w:t>Article 51, Clause 2, point b</w:t>
            </w:r>
          </w:p>
        </w:tc>
        <w:tc>
          <w:tcPr>
            <w:tcW w:w="1167" w:type="pct"/>
          </w:tcPr>
          <w:p w14:paraId="0E302B02" w14:textId="77777777" w:rsidR="003445AD" w:rsidRPr="00E14DE7" w:rsidRDefault="003445AD" w:rsidP="00C301A3">
            <w:pPr>
              <w:jc w:val="both"/>
              <w:rPr>
                <w:rFonts w:cs="Times New Roman"/>
                <w:noProof/>
                <w:sz w:val="22"/>
              </w:rPr>
            </w:pPr>
            <w:r w:rsidRPr="00E14DE7">
              <w:rPr>
                <w:rFonts w:cs="Times New Roman"/>
                <w:sz w:val="22"/>
              </w:rPr>
              <w:t>2. Petrolimex shall actively cooperate with its affiliated persons by:</w:t>
            </w:r>
          </w:p>
          <w:p w14:paraId="212050B6" w14:textId="68EEA532" w:rsidR="003445AD" w:rsidRPr="00E14DE7" w:rsidRDefault="003445AD" w:rsidP="00C301A3">
            <w:pPr>
              <w:widowControl w:val="0"/>
              <w:adjustRightInd w:val="0"/>
              <w:snapToGrid w:val="0"/>
              <w:spacing w:before="60" w:after="60"/>
              <w:jc w:val="both"/>
              <w:rPr>
                <w:rFonts w:cs="Times New Roman"/>
                <w:bCs/>
                <w:i/>
                <w:iCs/>
                <w:color w:val="000000"/>
                <w:sz w:val="22"/>
              </w:rPr>
            </w:pPr>
            <w:r w:rsidRPr="00E14DE7">
              <w:rPr>
                <w:rFonts w:cs="Times New Roman"/>
                <w:sz w:val="22"/>
              </w:rPr>
              <w:t>b) Encouraging them to provide feedback on business operations, financial positions, and key decisions affecting their interests through direct engagement with members of the Board of Management, the General Director, Deputy General Directors, and Supervisors.</w:t>
            </w:r>
          </w:p>
        </w:tc>
        <w:tc>
          <w:tcPr>
            <w:tcW w:w="2011" w:type="pct"/>
          </w:tcPr>
          <w:p w14:paraId="42637DC8" w14:textId="37F919D3" w:rsidR="008D4E6E" w:rsidRPr="00E14DE7" w:rsidRDefault="008D4E6E" w:rsidP="00C301A3">
            <w:pPr>
              <w:jc w:val="both"/>
              <w:rPr>
                <w:rFonts w:cs="Times New Roman"/>
                <w:noProof/>
                <w:sz w:val="22"/>
              </w:rPr>
            </w:pPr>
            <w:r w:rsidRPr="00E14DE7">
              <w:rPr>
                <w:rFonts w:cs="Times New Roman"/>
                <w:sz w:val="22"/>
              </w:rPr>
              <w:t>Article 52</w:t>
            </w:r>
          </w:p>
          <w:p w14:paraId="26445538" w14:textId="78752D9B" w:rsidR="003445AD" w:rsidRPr="00E14DE7" w:rsidRDefault="003445AD" w:rsidP="00C301A3">
            <w:pPr>
              <w:jc w:val="both"/>
              <w:rPr>
                <w:rFonts w:cs="Times New Roman"/>
                <w:noProof/>
                <w:sz w:val="22"/>
              </w:rPr>
            </w:pPr>
            <w:r w:rsidRPr="00E14DE7">
              <w:rPr>
                <w:rFonts w:cs="Times New Roman"/>
                <w:sz w:val="22"/>
              </w:rPr>
              <w:t>2. Petrolimex shall actively cooperate with its affiliated persons by:</w:t>
            </w:r>
          </w:p>
          <w:p w14:paraId="6FC51C8C" w14:textId="268607F5" w:rsidR="003445AD" w:rsidRPr="00E14DE7" w:rsidRDefault="003445AD" w:rsidP="00C301A3">
            <w:pPr>
              <w:widowControl w:val="0"/>
              <w:adjustRightInd w:val="0"/>
              <w:snapToGrid w:val="0"/>
              <w:spacing w:before="60" w:after="60"/>
              <w:jc w:val="both"/>
              <w:rPr>
                <w:rFonts w:cs="Times New Roman"/>
                <w:bCs/>
                <w:color w:val="000000"/>
                <w:sz w:val="22"/>
                <w:u w:val="single"/>
              </w:rPr>
            </w:pPr>
            <w:r w:rsidRPr="00E14DE7">
              <w:rPr>
                <w:rFonts w:cs="Times New Roman"/>
                <w:sz w:val="22"/>
              </w:rPr>
              <w:t xml:space="preserve">b) Encouraging </w:t>
            </w:r>
            <w:r w:rsidRPr="00E14DE7">
              <w:rPr>
                <w:rFonts w:cs="Times New Roman"/>
                <w:strike/>
                <w:sz w:val="22"/>
              </w:rPr>
              <w:t>them</w:t>
            </w:r>
            <w:r w:rsidRPr="00E14DE7">
              <w:rPr>
                <w:rFonts w:cs="Times New Roman"/>
                <w:sz w:val="22"/>
              </w:rPr>
              <w:t xml:space="preserve"> </w:t>
            </w:r>
            <w:r w:rsidRPr="00E14DE7">
              <w:rPr>
                <w:rFonts w:cs="Times New Roman"/>
                <w:sz w:val="22"/>
                <w:u w:val="single"/>
              </w:rPr>
              <w:t>the affiliated persons</w:t>
            </w:r>
            <w:r w:rsidRPr="00E14DE7">
              <w:rPr>
                <w:rFonts w:cs="Times New Roman"/>
                <w:sz w:val="22"/>
              </w:rPr>
              <w:t xml:space="preserve"> to provide feedback on business operations, financial positions, and key decisions affecting their interests through direct engagement with members of the Board of Management, the General Director, Deputy General Directors, and Supervisors.</w:t>
            </w:r>
          </w:p>
        </w:tc>
        <w:tc>
          <w:tcPr>
            <w:tcW w:w="1033" w:type="pct"/>
          </w:tcPr>
          <w:p w14:paraId="7EEC07D5" w14:textId="77777777" w:rsidR="003445AD" w:rsidRPr="00E14DE7" w:rsidRDefault="003445AD" w:rsidP="00C301A3">
            <w:pPr>
              <w:spacing w:before="60" w:after="60"/>
              <w:jc w:val="both"/>
              <w:rPr>
                <w:rFonts w:cs="Times New Roman"/>
                <w:noProof/>
                <w:sz w:val="22"/>
              </w:rPr>
            </w:pPr>
            <w:r w:rsidRPr="00E14DE7">
              <w:rPr>
                <w:rFonts w:cs="Times New Roman"/>
                <w:sz w:val="22"/>
              </w:rPr>
              <w:t>Amend the expression.</w:t>
            </w:r>
          </w:p>
          <w:p w14:paraId="3FF581AC" w14:textId="77777777" w:rsidR="003445AD" w:rsidRPr="00E14DE7" w:rsidRDefault="003445AD" w:rsidP="00C301A3">
            <w:pPr>
              <w:jc w:val="both"/>
              <w:rPr>
                <w:rFonts w:cs="Times New Roman"/>
                <w:noProof/>
                <w:sz w:val="22"/>
              </w:rPr>
            </w:pPr>
            <w:r w:rsidRPr="00E14DE7">
              <w:rPr>
                <w:rFonts w:cs="Times New Roman"/>
                <w:sz w:val="22"/>
              </w:rPr>
              <w:t>Regulation on “affiliated person releases the opinion....” is consistent with OECD Principles (9.3 and 9.5).</w:t>
            </w:r>
          </w:p>
          <w:p w14:paraId="487C70BC" w14:textId="77777777" w:rsidR="003445AD" w:rsidRPr="00E14DE7" w:rsidRDefault="003445AD" w:rsidP="00C301A3">
            <w:pPr>
              <w:jc w:val="both"/>
              <w:rPr>
                <w:rFonts w:cs="Times New Roman"/>
                <w:i/>
                <w:noProof/>
                <w:sz w:val="22"/>
              </w:rPr>
            </w:pPr>
            <w:r w:rsidRPr="00E14DE7">
              <w:rPr>
                <w:rFonts w:cs="Times New Roman"/>
                <w:i/>
                <w:sz w:val="22"/>
              </w:rPr>
              <w:t>Principle 9.3: The Board of Management shall ensure that the company establishes appropriate channels and engagement mechanisms to encourage internal and external affiliated persons to exchange views and provide feedback on sustainability matters.</w:t>
            </w:r>
          </w:p>
          <w:p w14:paraId="77E51D2B" w14:textId="68FDC08C" w:rsidR="003445AD" w:rsidRPr="00E14DE7" w:rsidRDefault="003445AD" w:rsidP="00C301A3">
            <w:pPr>
              <w:widowControl w:val="0"/>
              <w:adjustRightInd w:val="0"/>
              <w:snapToGrid w:val="0"/>
              <w:spacing w:before="60" w:after="60"/>
              <w:jc w:val="both"/>
              <w:rPr>
                <w:rFonts w:cs="Times New Roman"/>
                <w:color w:val="000000" w:themeColor="text1"/>
                <w:sz w:val="22"/>
              </w:rPr>
            </w:pPr>
            <w:r w:rsidRPr="00E14DE7">
              <w:rPr>
                <w:rFonts w:cs="Times New Roman"/>
                <w:i/>
                <w:sz w:val="22"/>
              </w:rPr>
              <w:t xml:space="preserve">Principle 9.5: </w:t>
            </w:r>
            <w:r w:rsidRPr="00E14DE7">
              <w:rPr>
                <w:rFonts w:cs="Times New Roman"/>
                <w:i/>
                <w:iCs/>
                <w:sz w:val="22"/>
              </w:rPr>
              <w:t>The Board of Management shall ensure the establishment of policies that take into account the rights, responsibilities and interests of affiliated persons to promote active cooperation among the company, shareholders and affiliated persons in value creation, quality employment, and enhancing sustainable development and corporate resilience</w:t>
            </w:r>
            <w:r w:rsidRPr="00E14DE7">
              <w:rPr>
                <w:rFonts w:cs="Times New Roman"/>
                <w:sz w:val="22"/>
              </w:rPr>
              <w:t>.</w:t>
            </w:r>
          </w:p>
        </w:tc>
      </w:tr>
      <w:tr w:rsidR="00C301A3" w:rsidRPr="00E14DE7" w14:paraId="1A993E3F" w14:textId="77777777" w:rsidTr="00EB2EA0">
        <w:trPr>
          <w:trHeight w:val="20"/>
        </w:trPr>
        <w:tc>
          <w:tcPr>
            <w:tcW w:w="215" w:type="pct"/>
          </w:tcPr>
          <w:p w14:paraId="64F23F62" w14:textId="77777777" w:rsidR="003445AD" w:rsidRPr="00E14DE7" w:rsidRDefault="003445A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3C7676DB" w14:textId="561AA2B5" w:rsidR="003445AD" w:rsidRPr="00E14DE7" w:rsidRDefault="003445AD" w:rsidP="00C301A3">
            <w:pPr>
              <w:widowControl w:val="0"/>
              <w:adjustRightInd w:val="0"/>
              <w:snapToGrid w:val="0"/>
              <w:spacing w:before="60" w:after="60"/>
              <w:rPr>
                <w:rFonts w:cs="Times New Roman"/>
                <w:color w:val="000000" w:themeColor="text1"/>
                <w:sz w:val="22"/>
              </w:rPr>
            </w:pPr>
            <w:r w:rsidRPr="00E14DE7">
              <w:rPr>
                <w:rFonts w:cs="Times New Roman"/>
                <w:color w:val="000000" w:themeColor="text1"/>
                <w:sz w:val="22"/>
              </w:rPr>
              <w:t>Chapter VIII</w:t>
            </w:r>
          </w:p>
        </w:tc>
        <w:tc>
          <w:tcPr>
            <w:tcW w:w="1167" w:type="pct"/>
          </w:tcPr>
          <w:p w14:paraId="27BA8AC0" w14:textId="6080B5D1" w:rsidR="003445AD" w:rsidRPr="00E14DE7" w:rsidRDefault="003445AD"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CHAPTER VIII. INFORMATION DISCLOSURE AND TRANSPARENCY</w:t>
            </w:r>
          </w:p>
        </w:tc>
        <w:tc>
          <w:tcPr>
            <w:tcW w:w="2011" w:type="pct"/>
          </w:tcPr>
          <w:p w14:paraId="3A699D66" w14:textId="667576AF" w:rsidR="003445AD" w:rsidRPr="00E14DE7" w:rsidRDefault="003445AD"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 xml:space="preserve">CHAPTER VIII. </w:t>
            </w:r>
            <w:r w:rsidRPr="00E14DE7">
              <w:rPr>
                <w:rFonts w:cs="Times New Roman"/>
                <w:color w:val="000000"/>
                <w:sz w:val="22"/>
                <w:u w:val="single"/>
              </w:rPr>
              <w:t xml:space="preserve">FINANCIAL STATEMENTS, ANNUAL REPORT, OTHER REPORTS AND RESPONSIBILITIES </w:t>
            </w:r>
            <w:r w:rsidRPr="00E14DE7">
              <w:rPr>
                <w:rFonts w:cs="Times New Roman"/>
                <w:color w:val="000000"/>
                <w:sz w:val="22"/>
              </w:rPr>
              <w:t xml:space="preserve">FOR INFORMATION </w:t>
            </w:r>
            <w:r w:rsidR="00027F3F" w:rsidRPr="00E14DE7">
              <w:rPr>
                <w:rFonts w:cs="Times New Roman"/>
                <w:color w:val="000000"/>
                <w:sz w:val="22"/>
              </w:rPr>
              <w:t>DISCLOSURE</w:t>
            </w:r>
            <w:r w:rsidRPr="00E14DE7">
              <w:rPr>
                <w:rFonts w:cs="Times New Roman"/>
                <w:color w:val="000000"/>
                <w:sz w:val="22"/>
              </w:rPr>
              <w:t xml:space="preserve"> </w:t>
            </w:r>
          </w:p>
        </w:tc>
        <w:tc>
          <w:tcPr>
            <w:tcW w:w="1033" w:type="pct"/>
          </w:tcPr>
          <w:p w14:paraId="00C82DFF" w14:textId="116BD363" w:rsidR="003445AD" w:rsidRPr="00E14DE7" w:rsidRDefault="003445A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Rename Chapter VIII of the Regulation 218 to be well matched with Chapter VI of the 2026 Draft Charter.</w:t>
            </w:r>
          </w:p>
        </w:tc>
      </w:tr>
      <w:tr w:rsidR="00C301A3" w:rsidRPr="00E14DE7" w14:paraId="0983006B" w14:textId="77777777" w:rsidTr="00EB2EA0">
        <w:trPr>
          <w:trHeight w:val="20"/>
        </w:trPr>
        <w:tc>
          <w:tcPr>
            <w:tcW w:w="215" w:type="pct"/>
          </w:tcPr>
          <w:p w14:paraId="63521360" w14:textId="77777777" w:rsidR="003445AD" w:rsidRPr="00E14DE7" w:rsidRDefault="003445A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5EBE30FA" w14:textId="32965F8A" w:rsidR="003445AD" w:rsidRPr="00E14DE7" w:rsidRDefault="003445AD" w:rsidP="00C301A3">
            <w:pPr>
              <w:widowControl w:val="0"/>
              <w:adjustRightInd w:val="0"/>
              <w:snapToGrid w:val="0"/>
              <w:spacing w:before="60" w:after="60"/>
              <w:rPr>
                <w:rFonts w:cs="Times New Roman"/>
                <w:color w:val="000000" w:themeColor="text1"/>
                <w:sz w:val="22"/>
              </w:rPr>
            </w:pPr>
            <w:r w:rsidRPr="00E14DE7">
              <w:rPr>
                <w:rFonts w:cs="Times New Roman"/>
                <w:color w:val="000000" w:themeColor="text1"/>
                <w:sz w:val="22"/>
              </w:rPr>
              <w:t>Article 53, Clause 2</w:t>
            </w:r>
          </w:p>
        </w:tc>
        <w:tc>
          <w:tcPr>
            <w:tcW w:w="1167" w:type="pct"/>
          </w:tcPr>
          <w:p w14:paraId="4169BE43" w14:textId="580A58DB" w:rsidR="003445AD" w:rsidRPr="00E14DE7" w:rsidRDefault="001D54DD"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2. The annual financial statements must include the income statements, giving a true and fair view about Petrolimex’s profit and loss in the fiscal year, balance sheet giving a true and fair view of Petrolimex’s operations as of date of report, cash flow statements and notes to the Financial Statements.</w:t>
            </w:r>
          </w:p>
        </w:tc>
        <w:tc>
          <w:tcPr>
            <w:tcW w:w="2011" w:type="pct"/>
          </w:tcPr>
          <w:p w14:paraId="4DB29E12" w14:textId="3D386552" w:rsidR="001D54DD" w:rsidRPr="00E14DE7" w:rsidRDefault="001D54DD"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Article 54</w:t>
            </w:r>
          </w:p>
          <w:p w14:paraId="10B4E935" w14:textId="116700FD" w:rsidR="003445AD" w:rsidRPr="00E14DE7" w:rsidRDefault="001D54DD"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 xml:space="preserve">2. The annual financial statements must include the income statements, giving a true and fair view about Petrolimex’s </w:t>
            </w:r>
            <w:r w:rsidRPr="00E14DE7">
              <w:rPr>
                <w:rFonts w:cs="Times New Roman"/>
                <w:color w:val="000000"/>
                <w:sz w:val="22"/>
                <w:u w:val="single"/>
              </w:rPr>
              <w:t>profit and loss</w:t>
            </w:r>
            <w:r w:rsidRPr="00E14DE7">
              <w:rPr>
                <w:rFonts w:cs="Times New Roman"/>
                <w:color w:val="000000"/>
                <w:sz w:val="22"/>
              </w:rPr>
              <w:t xml:space="preserve"> in the fiscal year, </w:t>
            </w:r>
            <w:r w:rsidRPr="00E14DE7">
              <w:rPr>
                <w:rFonts w:cs="Times New Roman"/>
                <w:color w:val="000000"/>
                <w:sz w:val="22"/>
                <w:u w:val="single"/>
              </w:rPr>
              <w:t>statement on financial position</w:t>
            </w:r>
            <w:r w:rsidRPr="00E14DE7">
              <w:rPr>
                <w:rFonts w:cs="Times New Roman"/>
                <w:color w:val="000000"/>
                <w:sz w:val="22"/>
              </w:rPr>
              <w:t>, giving a true and fair view of Petrolimex’s operations as of date of report, cash flow statements and notes to the Financial Statements.</w:t>
            </w:r>
          </w:p>
        </w:tc>
        <w:tc>
          <w:tcPr>
            <w:tcW w:w="1033" w:type="pct"/>
          </w:tcPr>
          <w:p w14:paraId="07635A11" w14:textId="744E21EA" w:rsidR="003445AD" w:rsidRPr="00E14DE7" w:rsidRDefault="003445A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The amended contents aim to be consistent with Article 50, clause 2 of the 2026 Draft Charter.</w:t>
            </w:r>
          </w:p>
        </w:tc>
      </w:tr>
      <w:tr w:rsidR="00C301A3" w:rsidRPr="00E14DE7" w14:paraId="54E024CD" w14:textId="77777777" w:rsidTr="00EB2EA0">
        <w:trPr>
          <w:trHeight w:val="20"/>
        </w:trPr>
        <w:tc>
          <w:tcPr>
            <w:tcW w:w="215" w:type="pct"/>
          </w:tcPr>
          <w:p w14:paraId="697BA0A7" w14:textId="77777777" w:rsidR="003445AD" w:rsidRPr="00E14DE7" w:rsidRDefault="003445A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46CF1C4E" w14:textId="7E89F637" w:rsidR="003445AD" w:rsidRPr="00E14DE7" w:rsidRDefault="003445AD" w:rsidP="00C301A3">
            <w:pPr>
              <w:widowControl w:val="0"/>
              <w:adjustRightInd w:val="0"/>
              <w:snapToGrid w:val="0"/>
              <w:spacing w:before="60" w:after="60"/>
              <w:rPr>
                <w:rFonts w:cs="Times New Roman"/>
                <w:color w:val="000000" w:themeColor="text1"/>
                <w:sz w:val="22"/>
              </w:rPr>
            </w:pPr>
            <w:r w:rsidRPr="00E14DE7">
              <w:rPr>
                <w:rFonts w:cs="Times New Roman"/>
                <w:color w:val="000000" w:themeColor="text1"/>
                <w:sz w:val="22"/>
              </w:rPr>
              <w:t>Article 53, Clause 3</w:t>
            </w:r>
          </w:p>
        </w:tc>
        <w:tc>
          <w:tcPr>
            <w:tcW w:w="1167" w:type="pct"/>
          </w:tcPr>
          <w:p w14:paraId="127DBCEC" w14:textId="4D90181F" w:rsidR="003445AD" w:rsidRPr="00E14DE7" w:rsidRDefault="00B01EC9"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3. Petrolimex must prepare and release the semi-annual Financial Statements and Quarterly Financial Statements as prescribed by the State Securities Commission and submit to the relevant tax authority and Business Registration Authority in accordance with the Law on Enterprises.</w:t>
            </w:r>
          </w:p>
        </w:tc>
        <w:tc>
          <w:tcPr>
            <w:tcW w:w="2011" w:type="pct"/>
          </w:tcPr>
          <w:p w14:paraId="130B05B1" w14:textId="486C6B61" w:rsidR="00B01EC9" w:rsidRPr="00E14DE7" w:rsidRDefault="00B01EC9"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Article 54</w:t>
            </w:r>
          </w:p>
          <w:p w14:paraId="7CC56260" w14:textId="629490BD" w:rsidR="003445AD" w:rsidRPr="00E14DE7" w:rsidRDefault="00B01EC9"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3. Petrolimex must prepare and release the</w:t>
            </w:r>
            <w:r w:rsidRPr="00E14DE7">
              <w:rPr>
                <w:rFonts w:cs="Times New Roman"/>
                <w:color w:val="000000"/>
                <w:sz w:val="22"/>
                <w:u w:val="single"/>
              </w:rPr>
              <w:t xml:space="preserve"> reviewed</w:t>
            </w:r>
            <w:r w:rsidRPr="00E14DE7">
              <w:rPr>
                <w:rFonts w:cs="Times New Roman"/>
                <w:color w:val="000000"/>
                <w:sz w:val="22"/>
              </w:rPr>
              <w:t xml:space="preserve"> semi-annual </w:t>
            </w:r>
            <w:r w:rsidRPr="00E14DE7">
              <w:rPr>
                <w:rFonts w:cs="Times New Roman"/>
                <w:color w:val="000000"/>
                <w:sz w:val="22"/>
                <w:u w:val="single"/>
              </w:rPr>
              <w:t>Financial Statements and Quarterly Financial Statements as prescribed by the State Securities Commission, Stock Exchange</w:t>
            </w:r>
            <w:r w:rsidRPr="00E14DE7">
              <w:rPr>
                <w:rFonts w:cs="Times New Roman"/>
                <w:color w:val="000000"/>
                <w:sz w:val="22"/>
              </w:rPr>
              <w:t xml:space="preserve"> and submit to the relevant tax authority and Business Registration Authority in accordance with the Law on Enterprises.</w:t>
            </w:r>
          </w:p>
        </w:tc>
        <w:tc>
          <w:tcPr>
            <w:tcW w:w="1033" w:type="pct"/>
          </w:tcPr>
          <w:p w14:paraId="3B5C095E" w14:textId="034E897B" w:rsidR="003445AD" w:rsidRPr="00E14DE7" w:rsidRDefault="003445A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The amended contents aim to be consistent with Article 50, clause 3 of the 2026 Draft Charter.</w:t>
            </w:r>
          </w:p>
        </w:tc>
      </w:tr>
      <w:tr w:rsidR="00C301A3" w:rsidRPr="00E14DE7" w14:paraId="2F7E9621" w14:textId="77777777" w:rsidTr="00EB2EA0">
        <w:trPr>
          <w:trHeight w:val="20"/>
        </w:trPr>
        <w:tc>
          <w:tcPr>
            <w:tcW w:w="215" w:type="pct"/>
          </w:tcPr>
          <w:p w14:paraId="6AB4A396" w14:textId="77777777" w:rsidR="003445AD" w:rsidRPr="00E14DE7" w:rsidRDefault="003445A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2EF4B1C5" w14:textId="043A8203" w:rsidR="003445AD" w:rsidRPr="00E14DE7" w:rsidRDefault="003445AD" w:rsidP="00C301A3">
            <w:pPr>
              <w:widowControl w:val="0"/>
              <w:adjustRightInd w:val="0"/>
              <w:snapToGrid w:val="0"/>
              <w:spacing w:before="60" w:after="60"/>
              <w:rPr>
                <w:rFonts w:cs="Times New Roman"/>
                <w:color w:val="000000" w:themeColor="text1"/>
                <w:sz w:val="22"/>
              </w:rPr>
            </w:pPr>
            <w:r w:rsidRPr="00E14DE7">
              <w:rPr>
                <w:rFonts w:cs="Times New Roman"/>
                <w:color w:val="000000" w:themeColor="text1"/>
                <w:sz w:val="22"/>
              </w:rPr>
              <w:t>Article 53, Clause 4</w:t>
            </w:r>
          </w:p>
        </w:tc>
        <w:tc>
          <w:tcPr>
            <w:tcW w:w="1167" w:type="pct"/>
          </w:tcPr>
          <w:p w14:paraId="7C54AB34" w14:textId="27173805" w:rsidR="003445AD" w:rsidRPr="00E14DE7" w:rsidRDefault="00227CBF"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4. The audited financial statements (including auditor’s opinion), semi-annual financial statements and quarterly financial statements must be post</w:t>
            </w:r>
            <w:r w:rsidR="007E0B84" w:rsidRPr="00E14DE7">
              <w:rPr>
                <w:rFonts w:cs="Times New Roman"/>
                <w:color w:val="000000"/>
                <w:sz w:val="22"/>
              </w:rPr>
              <w:t>ed</w:t>
            </w:r>
            <w:r w:rsidRPr="00E14DE7">
              <w:rPr>
                <w:rFonts w:cs="Times New Roman"/>
                <w:color w:val="000000"/>
                <w:sz w:val="22"/>
              </w:rPr>
              <w:t xml:space="preserve"> on Petrolimex website.</w:t>
            </w:r>
          </w:p>
        </w:tc>
        <w:tc>
          <w:tcPr>
            <w:tcW w:w="2011" w:type="pct"/>
          </w:tcPr>
          <w:p w14:paraId="54E91795" w14:textId="7A46560F" w:rsidR="00227CBF" w:rsidRPr="00E14DE7" w:rsidRDefault="00227CBF"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Article 54</w:t>
            </w:r>
          </w:p>
          <w:p w14:paraId="5738E585" w14:textId="7D91F8E7" w:rsidR="003445AD" w:rsidRPr="00E14DE7" w:rsidRDefault="00227CBF"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 xml:space="preserve">4. The audited annual financial statements (including auditor’s opinion), </w:t>
            </w:r>
            <w:r w:rsidRPr="00E14DE7">
              <w:rPr>
                <w:rFonts w:cs="Times New Roman"/>
                <w:color w:val="000000"/>
                <w:sz w:val="22"/>
                <w:u w:val="single"/>
              </w:rPr>
              <w:t>reviewed semi-annual financial statements and quarterly financial statements</w:t>
            </w:r>
            <w:r w:rsidRPr="00E14DE7">
              <w:rPr>
                <w:rFonts w:cs="Times New Roman"/>
                <w:color w:val="000000"/>
                <w:sz w:val="22"/>
              </w:rPr>
              <w:t xml:space="preserve"> must be post</w:t>
            </w:r>
            <w:r w:rsidR="00027F3F" w:rsidRPr="00E14DE7">
              <w:rPr>
                <w:rFonts w:cs="Times New Roman"/>
                <w:color w:val="000000"/>
                <w:sz w:val="22"/>
              </w:rPr>
              <w:t>ed</w:t>
            </w:r>
            <w:r w:rsidRPr="00E14DE7">
              <w:rPr>
                <w:rFonts w:cs="Times New Roman"/>
                <w:color w:val="000000"/>
                <w:sz w:val="22"/>
              </w:rPr>
              <w:t xml:space="preserve"> on </w:t>
            </w:r>
            <w:r w:rsidR="00027F3F" w:rsidRPr="00E14DE7">
              <w:rPr>
                <w:rFonts w:cs="Times New Roman"/>
                <w:color w:val="000000"/>
                <w:sz w:val="22"/>
              </w:rPr>
              <w:t xml:space="preserve">the </w:t>
            </w:r>
            <w:r w:rsidRPr="00E14DE7">
              <w:rPr>
                <w:rFonts w:cs="Times New Roman"/>
                <w:color w:val="000000"/>
                <w:sz w:val="22"/>
              </w:rPr>
              <w:t>Petrolimex website.</w:t>
            </w:r>
          </w:p>
        </w:tc>
        <w:tc>
          <w:tcPr>
            <w:tcW w:w="1033" w:type="pct"/>
          </w:tcPr>
          <w:p w14:paraId="3CCA146E" w14:textId="558BA2F2" w:rsidR="003445AD" w:rsidRPr="00E14DE7" w:rsidRDefault="003445A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The amended contents aim to be consistent with Article 50, clause 4 of the 2026 Draft Charter.</w:t>
            </w:r>
          </w:p>
        </w:tc>
      </w:tr>
      <w:tr w:rsidR="00C301A3" w:rsidRPr="00E14DE7" w14:paraId="30B5A46F" w14:textId="77777777" w:rsidTr="00EB2EA0">
        <w:trPr>
          <w:trHeight w:val="20"/>
        </w:trPr>
        <w:tc>
          <w:tcPr>
            <w:tcW w:w="215" w:type="pct"/>
          </w:tcPr>
          <w:p w14:paraId="60AED5B2" w14:textId="77777777" w:rsidR="003445AD" w:rsidRPr="00E14DE7" w:rsidRDefault="003445A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2E48F4FE" w14:textId="7F6A88D2" w:rsidR="003445AD" w:rsidRPr="00E14DE7" w:rsidRDefault="003445AD" w:rsidP="00C301A3">
            <w:pPr>
              <w:widowControl w:val="0"/>
              <w:adjustRightInd w:val="0"/>
              <w:snapToGrid w:val="0"/>
              <w:spacing w:before="60" w:after="60"/>
              <w:rPr>
                <w:rFonts w:cs="Times New Roman"/>
                <w:color w:val="000000" w:themeColor="text1"/>
                <w:sz w:val="22"/>
              </w:rPr>
            </w:pPr>
            <w:r w:rsidRPr="00E14DE7">
              <w:rPr>
                <w:rFonts w:cs="Times New Roman"/>
                <w:color w:val="000000" w:themeColor="text1"/>
                <w:sz w:val="22"/>
              </w:rPr>
              <w:t>Article 53, Clause 5</w:t>
            </w:r>
          </w:p>
        </w:tc>
        <w:tc>
          <w:tcPr>
            <w:tcW w:w="1167" w:type="pct"/>
          </w:tcPr>
          <w:p w14:paraId="3FEB7A42" w14:textId="325DECEE" w:rsidR="003445AD" w:rsidRPr="00E14DE7" w:rsidRDefault="00227CBF"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 xml:space="preserve">5. Interested organizations and individuals may inspect or make copy of audited annual financial statements, semi-annual and quarterly reports during Petrolimex’s working hours and paid with a reasonable fee for </w:t>
            </w:r>
            <w:r w:rsidRPr="00E14DE7">
              <w:rPr>
                <w:rFonts w:cs="Times New Roman"/>
                <w:color w:val="000000"/>
                <w:sz w:val="22"/>
              </w:rPr>
              <w:lastRenderedPageBreak/>
              <w:t>copy.</w:t>
            </w:r>
          </w:p>
        </w:tc>
        <w:tc>
          <w:tcPr>
            <w:tcW w:w="2011" w:type="pct"/>
          </w:tcPr>
          <w:p w14:paraId="6C8242D3" w14:textId="77777777" w:rsidR="00227CBF" w:rsidRPr="00E14DE7" w:rsidRDefault="00227CBF"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lastRenderedPageBreak/>
              <w:t>Article 54</w:t>
            </w:r>
          </w:p>
          <w:p w14:paraId="47BE027A" w14:textId="4EC4BA63" w:rsidR="003445AD" w:rsidRPr="00E14DE7" w:rsidRDefault="00227CBF"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 xml:space="preserve">5. Interested organizations and individuals may inspect or make copy of audited annual financial statements, </w:t>
            </w:r>
            <w:r w:rsidRPr="00E14DE7">
              <w:rPr>
                <w:rFonts w:cs="Times New Roman"/>
                <w:color w:val="000000"/>
                <w:sz w:val="22"/>
                <w:u w:val="single"/>
              </w:rPr>
              <w:t>reviewed semi-annual and quarterly financial statements</w:t>
            </w:r>
            <w:r w:rsidRPr="00E14DE7">
              <w:rPr>
                <w:rFonts w:cs="Times New Roman"/>
                <w:color w:val="000000"/>
                <w:sz w:val="22"/>
              </w:rPr>
              <w:t xml:space="preserve"> during Petrolimex’s working hours and paid with a reasonable fee for copy.</w:t>
            </w:r>
          </w:p>
        </w:tc>
        <w:tc>
          <w:tcPr>
            <w:tcW w:w="1033" w:type="pct"/>
          </w:tcPr>
          <w:p w14:paraId="5F71ED9E" w14:textId="44815236" w:rsidR="003445AD" w:rsidRPr="00E14DE7" w:rsidRDefault="003445A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The amended contents aim to be consistent with Article 50, clause 5 of the 2026 Draft Charter.</w:t>
            </w:r>
          </w:p>
        </w:tc>
      </w:tr>
      <w:tr w:rsidR="00C301A3" w:rsidRPr="00E14DE7" w14:paraId="3D5928E0" w14:textId="77777777" w:rsidTr="00EB2EA0">
        <w:trPr>
          <w:trHeight w:val="20"/>
        </w:trPr>
        <w:tc>
          <w:tcPr>
            <w:tcW w:w="215" w:type="pct"/>
          </w:tcPr>
          <w:p w14:paraId="5D6E360A" w14:textId="77777777" w:rsidR="003445AD" w:rsidRPr="00E14DE7" w:rsidRDefault="003445A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681C0867" w14:textId="5475733F" w:rsidR="003445AD" w:rsidRPr="00E14DE7" w:rsidRDefault="003445AD" w:rsidP="00C301A3">
            <w:pPr>
              <w:widowControl w:val="0"/>
              <w:adjustRightInd w:val="0"/>
              <w:snapToGrid w:val="0"/>
              <w:spacing w:before="60" w:after="60"/>
              <w:rPr>
                <w:rFonts w:cs="Times New Roman"/>
                <w:color w:val="000000" w:themeColor="text1"/>
                <w:sz w:val="22"/>
              </w:rPr>
            </w:pPr>
            <w:r w:rsidRPr="00E14DE7">
              <w:rPr>
                <w:rFonts w:cs="Times New Roman"/>
                <w:sz w:val="22"/>
              </w:rPr>
              <w:t>Article 53, Clause 6 is separated into a new Article</w:t>
            </w:r>
          </w:p>
        </w:tc>
        <w:tc>
          <w:tcPr>
            <w:tcW w:w="1167" w:type="pct"/>
          </w:tcPr>
          <w:p w14:paraId="167B5167" w14:textId="554FDD0D" w:rsidR="003445AD" w:rsidRPr="00E14DE7" w:rsidRDefault="003445AD" w:rsidP="00C301A3">
            <w:pPr>
              <w:widowControl w:val="0"/>
              <w:adjustRightInd w:val="0"/>
              <w:snapToGrid w:val="0"/>
              <w:spacing w:before="60" w:after="60"/>
              <w:jc w:val="both"/>
              <w:rPr>
                <w:rFonts w:cs="Times New Roman"/>
                <w:bCs/>
                <w:color w:val="000000"/>
                <w:sz w:val="22"/>
              </w:rPr>
            </w:pPr>
            <w:r w:rsidRPr="00E14DE7">
              <w:rPr>
                <w:rFonts w:cs="Times New Roman"/>
                <w:sz w:val="22"/>
              </w:rPr>
              <w:t>6. Petrolimex shall prepare and announce the annual report in accordance with the legal regulations on securities and stock market.</w:t>
            </w:r>
          </w:p>
        </w:tc>
        <w:tc>
          <w:tcPr>
            <w:tcW w:w="2011" w:type="pct"/>
          </w:tcPr>
          <w:p w14:paraId="73E01868" w14:textId="38D30C8E" w:rsidR="003445AD" w:rsidRPr="00E14DE7" w:rsidRDefault="003445AD" w:rsidP="00C301A3">
            <w:pPr>
              <w:jc w:val="both"/>
              <w:rPr>
                <w:rFonts w:cs="Times New Roman"/>
                <w:b/>
                <w:sz w:val="22"/>
              </w:rPr>
            </w:pPr>
            <w:r w:rsidRPr="00E14DE7">
              <w:rPr>
                <w:rFonts w:cs="Times New Roman"/>
                <w:b/>
                <w:sz w:val="22"/>
              </w:rPr>
              <w:t>Article 55. Annual Report</w:t>
            </w:r>
          </w:p>
          <w:p w14:paraId="13EEAB2C" w14:textId="77154211" w:rsidR="003445AD" w:rsidRPr="00E14DE7" w:rsidRDefault="003445AD" w:rsidP="00C301A3">
            <w:pPr>
              <w:widowControl w:val="0"/>
              <w:adjustRightInd w:val="0"/>
              <w:snapToGrid w:val="0"/>
              <w:spacing w:before="60" w:after="60"/>
              <w:jc w:val="both"/>
              <w:rPr>
                <w:rFonts w:cs="Times New Roman"/>
                <w:bCs/>
                <w:color w:val="000000"/>
                <w:sz w:val="22"/>
              </w:rPr>
            </w:pPr>
            <w:r w:rsidRPr="00E14DE7">
              <w:rPr>
                <w:rFonts w:cs="Times New Roman"/>
                <w:sz w:val="22"/>
              </w:rPr>
              <w:t>Petrolimex shall prepare and announce the annual report in accordance with the legal regulations on securities and stock market.</w:t>
            </w:r>
          </w:p>
        </w:tc>
        <w:tc>
          <w:tcPr>
            <w:tcW w:w="1033" w:type="pct"/>
          </w:tcPr>
          <w:p w14:paraId="059482C9" w14:textId="6E08C4DA" w:rsidR="003445AD" w:rsidRPr="00E14DE7" w:rsidRDefault="003445AD" w:rsidP="00C301A3">
            <w:pPr>
              <w:spacing w:before="60" w:after="60"/>
              <w:jc w:val="both"/>
              <w:rPr>
                <w:rFonts w:cs="Times New Roman"/>
                <w:noProof/>
                <w:sz w:val="22"/>
              </w:rPr>
            </w:pPr>
            <w:r w:rsidRPr="00E14DE7">
              <w:rPr>
                <w:rFonts w:cs="Times New Roman"/>
                <w:sz w:val="22"/>
              </w:rPr>
              <w:t xml:space="preserve">Supplement </w:t>
            </w:r>
            <w:r w:rsidR="007F1352" w:rsidRPr="00E14DE7">
              <w:rPr>
                <w:rFonts w:cs="Times New Roman"/>
                <w:sz w:val="22"/>
              </w:rPr>
              <w:t>to ensure compliance with Article</w:t>
            </w:r>
            <w:r w:rsidRPr="00E14DE7">
              <w:rPr>
                <w:rFonts w:cs="Times New Roman"/>
                <w:sz w:val="22"/>
              </w:rPr>
              <w:t xml:space="preserve"> 51 of the 2026 Draft Charter.</w:t>
            </w:r>
          </w:p>
          <w:p w14:paraId="462966CA" w14:textId="77777777" w:rsidR="003445AD" w:rsidRPr="00E14DE7" w:rsidRDefault="003445AD" w:rsidP="00C301A3">
            <w:pPr>
              <w:widowControl w:val="0"/>
              <w:adjustRightInd w:val="0"/>
              <w:snapToGrid w:val="0"/>
              <w:spacing w:before="60" w:after="60"/>
              <w:jc w:val="both"/>
              <w:rPr>
                <w:rFonts w:cs="Times New Roman"/>
                <w:color w:val="000000" w:themeColor="text1"/>
                <w:sz w:val="22"/>
              </w:rPr>
            </w:pPr>
          </w:p>
        </w:tc>
      </w:tr>
      <w:tr w:rsidR="00C301A3" w:rsidRPr="00E14DE7" w14:paraId="0CF5F28F" w14:textId="77777777" w:rsidTr="00EB2EA0">
        <w:trPr>
          <w:trHeight w:val="20"/>
        </w:trPr>
        <w:tc>
          <w:tcPr>
            <w:tcW w:w="215" w:type="pct"/>
          </w:tcPr>
          <w:p w14:paraId="263039DB" w14:textId="77777777" w:rsidR="003445AD" w:rsidRPr="00E14DE7" w:rsidRDefault="003445A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23284C9E" w14:textId="6A6F3F74" w:rsidR="003445AD" w:rsidRPr="00E14DE7" w:rsidRDefault="003445AD" w:rsidP="00C301A3">
            <w:pPr>
              <w:widowControl w:val="0"/>
              <w:adjustRightInd w:val="0"/>
              <w:snapToGrid w:val="0"/>
              <w:spacing w:before="60" w:after="60"/>
              <w:rPr>
                <w:rFonts w:cs="Times New Roman"/>
                <w:color w:val="000000" w:themeColor="text1"/>
                <w:sz w:val="22"/>
              </w:rPr>
            </w:pPr>
          </w:p>
        </w:tc>
        <w:tc>
          <w:tcPr>
            <w:tcW w:w="1167" w:type="pct"/>
          </w:tcPr>
          <w:p w14:paraId="5C101CDE" w14:textId="58D5B127" w:rsidR="003445AD" w:rsidRPr="00E14DE7" w:rsidRDefault="003445AD" w:rsidP="00C301A3">
            <w:pPr>
              <w:widowControl w:val="0"/>
              <w:adjustRightInd w:val="0"/>
              <w:snapToGrid w:val="0"/>
              <w:spacing w:before="60" w:after="60"/>
              <w:jc w:val="both"/>
              <w:rPr>
                <w:rFonts w:cs="Times New Roman"/>
                <w:bCs/>
                <w:color w:val="000000"/>
                <w:sz w:val="22"/>
              </w:rPr>
            </w:pPr>
            <w:r w:rsidRPr="00E14DE7">
              <w:rPr>
                <w:rFonts w:cs="Times New Roman"/>
                <w:i/>
                <w:sz w:val="22"/>
              </w:rPr>
              <w:t>Not specified</w:t>
            </w:r>
          </w:p>
        </w:tc>
        <w:tc>
          <w:tcPr>
            <w:tcW w:w="2011" w:type="pct"/>
          </w:tcPr>
          <w:p w14:paraId="18FA03A8" w14:textId="4356FF33" w:rsidR="003445AD" w:rsidRPr="00E14DE7" w:rsidRDefault="003445AD" w:rsidP="00C301A3">
            <w:pPr>
              <w:jc w:val="both"/>
              <w:rPr>
                <w:rFonts w:cs="Times New Roman"/>
                <w:b/>
                <w:noProof/>
                <w:sz w:val="22"/>
              </w:rPr>
            </w:pPr>
            <w:r w:rsidRPr="00E14DE7">
              <w:rPr>
                <w:rFonts w:cs="Times New Roman"/>
                <w:b/>
                <w:sz w:val="22"/>
              </w:rPr>
              <w:t xml:space="preserve">Article 56. Other reports and </w:t>
            </w:r>
            <w:r w:rsidR="00027F3F" w:rsidRPr="00E14DE7">
              <w:rPr>
                <w:rFonts w:cs="Times New Roman"/>
                <w:b/>
                <w:sz w:val="22"/>
              </w:rPr>
              <w:t>information disclosure</w:t>
            </w:r>
          </w:p>
          <w:p w14:paraId="713057D2" w14:textId="4A6AF961" w:rsidR="003445AD" w:rsidRPr="00E14DE7" w:rsidRDefault="003445AD" w:rsidP="00C301A3">
            <w:pPr>
              <w:widowControl w:val="0"/>
              <w:adjustRightInd w:val="0"/>
              <w:snapToGrid w:val="0"/>
              <w:spacing w:before="60" w:after="60"/>
              <w:jc w:val="both"/>
              <w:rPr>
                <w:rFonts w:cs="Times New Roman"/>
                <w:bCs/>
                <w:color w:val="000000"/>
                <w:sz w:val="22"/>
              </w:rPr>
            </w:pPr>
            <w:r w:rsidRPr="00E14DE7">
              <w:rPr>
                <w:rFonts w:cs="Times New Roman"/>
                <w:sz w:val="22"/>
              </w:rPr>
              <w:t>Petrolimex implements the reporting regime to the relevant agencies and public disclosure as prescribed by the laws.</w:t>
            </w:r>
          </w:p>
        </w:tc>
        <w:tc>
          <w:tcPr>
            <w:tcW w:w="1033" w:type="pct"/>
          </w:tcPr>
          <w:p w14:paraId="04EDE4AB" w14:textId="584704DB" w:rsidR="003445AD" w:rsidRPr="00E14DE7" w:rsidRDefault="003445AD" w:rsidP="00C301A3">
            <w:pPr>
              <w:spacing w:before="60" w:after="60"/>
              <w:jc w:val="both"/>
              <w:rPr>
                <w:rFonts w:cs="Times New Roman"/>
                <w:noProof/>
                <w:sz w:val="22"/>
              </w:rPr>
            </w:pPr>
            <w:r w:rsidRPr="00E14DE7">
              <w:rPr>
                <w:rFonts w:cs="Times New Roman"/>
                <w:sz w:val="22"/>
              </w:rPr>
              <w:t xml:space="preserve">Supplement </w:t>
            </w:r>
            <w:r w:rsidR="007F1352" w:rsidRPr="00E14DE7">
              <w:rPr>
                <w:rFonts w:cs="Times New Roman"/>
                <w:sz w:val="22"/>
              </w:rPr>
              <w:t>to ensure compliance with Article</w:t>
            </w:r>
            <w:r w:rsidRPr="00E14DE7">
              <w:rPr>
                <w:rFonts w:cs="Times New Roman"/>
                <w:sz w:val="22"/>
              </w:rPr>
              <w:t xml:space="preserve"> 52 of the 2026 Draft Charter.</w:t>
            </w:r>
          </w:p>
          <w:p w14:paraId="66A6180F" w14:textId="77777777" w:rsidR="003445AD" w:rsidRPr="00E14DE7" w:rsidRDefault="003445AD" w:rsidP="00C301A3">
            <w:pPr>
              <w:widowControl w:val="0"/>
              <w:adjustRightInd w:val="0"/>
              <w:snapToGrid w:val="0"/>
              <w:spacing w:before="60" w:after="60"/>
              <w:jc w:val="both"/>
              <w:rPr>
                <w:rFonts w:cs="Times New Roman"/>
                <w:color w:val="000000" w:themeColor="text1"/>
                <w:sz w:val="22"/>
              </w:rPr>
            </w:pPr>
          </w:p>
        </w:tc>
      </w:tr>
      <w:tr w:rsidR="00C301A3" w:rsidRPr="00E14DE7" w14:paraId="14E9074D" w14:textId="77777777" w:rsidTr="00EB2EA0">
        <w:trPr>
          <w:trHeight w:val="20"/>
        </w:trPr>
        <w:tc>
          <w:tcPr>
            <w:tcW w:w="215" w:type="pct"/>
          </w:tcPr>
          <w:p w14:paraId="1A0E4E82" w14:textId="77777777" w:rsidR="003445AD" w:rsidRPr="00E14DE7" w:rsidRDefault="003445A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31E697F6" w14:textId="6B16B3EC" w:rsidR="003445AD" w:rsidRPr="00E14DE7" w:rsidRDefault="003445AD" w:rsidP="00C301A3">
            <w:pPr>
              <w:widowControl w:val="0"/>
              <w:adjustRightInd w:val="0"/>
              <w:snapToGrid w:val="0"/>
              <w:spacing w:before="60" w:after="60"/>
              <w:rPr>
                <w:rFonts w:cs="Times New Roman"/>
                <w:color w:val="000000" w:themeColor="text1"/>
                <w:sz w:val="22"/>
              </w:rPr>
            </w:pPr>
            <w:r w:rsidRPr="00E14DE7">
              <w:rPr>
                <w:rFonts w:cs="Times New Roman"/>
                <w:color w:val="000000" w:themeColor="text1"/>
                <w:sz w:val="22"/>
              </w:rPr>
              <w:t>Article 54, Clause 1</w:t>
            </w:r>
          </w:p>
        </w:tc>
        <w:tc>
          <w:tcPr>
            <w:tcW w:w="1167" w:type="pct"/>
          </w:tcPr>
          <w:p w14:paraId="4523A099" w14:textId="77777777" w:rsidR="003445AD" w:rsidRPr="00E14DE7" w:rsidRDefault="003445AD"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1. Petrolimex shall provide information disclosure, including key contents as follows:</w:t>
            </w:r>
          </w:p>
          <w:p w14:paraId="02D4DA16" w14:textId="580576FB" w:rsidR="003445AD" w:rsidRPr="00E14DE7" w:rsidRDefault="003445AD"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 xml:space="preserve">- Develop and promulgate the regulations on </w:t>
            </w:r>
            <w:r w:rsidR="00027F3F" w:rsidRPr="00E14DE7">
              <w:rPr>
                <w:rFonts w:cs="Times New Roman"/>
                <w:color w:val="000000"/>
                <w:sz w:val="22"/>
              </w:rPr>
              <w:t>information disclosure</w:t>
            </w:r>
            <w:r w:rsidRPr="00E14DE7">
              <w:rPr>
                <w:rFonts w:cs="Times New Roman"/>
                <w:color w:val="000000"/>
                <w:sz w:val="22"/>
              </w:rPr>
              <w:t xml:space="preserve"> as prescribed at the Law on Securities and its guidance;</w:t>
            </w:r>
          </w:p>
          <w:p w14:paraId="76607DD3" w14:textId="348797B5" w:rsidR="003445AD" w:rsidRPr="00E14DE7" w:rsidRDefault="003445AD"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 Appoint at least one (1) information disclosure officer.</w:t>
            </w:r>
          </w:p>
        </w:tc>
        <w:tc>
          <w:tcPr>
            <w:tcW w:w="2011" w:type="pct"/>
          </w:tcPr>
          <w:p w14:paraId="53301858" w14:textId="35247A27" w:rsidR="008B742A" w:rsidRPr="00E14DE7" w:rsidRDefault="008B742A"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Article 57</w:t>
            </w:r>
          </w:p>
          <w:p w14:paraId="05223AFD" w14:textId="38CAB28A" w:rsidR="003445AD" w:rsidRPr="00E14DE7" w:rsidRDefault="003445AD"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1. Petrolimex shall provide information disclosure, including key contents as follows:</w:t>
            </w:r>
          </w:p>
          <w:p w14:paraId="0D3DB083" w14:textId="3CA3EDA8" w:rsidR="003445AD" w:rsidRPr="00E14DE7" w:rsidRDefault="003445AD"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 xml:space="preserve">- Develop and promulgate the regulations on information disclosure as prescribed by the Law on Securities, the </w:t>
            </w:r>
            <w:r w:rsidRPr="00E14DE7">
              <w:rPr>
                <w:rFonts w:cs="Times New Roman"/>
                <w:color w:val="000000"/>
                <w:sz w:val="22"/>
                <w:u w:val="single"/>
              </w:rPr>
              <w:t>Law on Management and Investment of State Capital in Enterprises, relevant laws and its guidance;</w:t>
            </w:r>
          </w:p>
          <w:p w14:paraId="6EC7F01A" w14:textId="47E3771D" w:rsidR="003445AD" w:rsidRPr="00E14DE7" w:rsidRDefault="003445AD"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 Appoint at least one (1) information disclosure officer.</w:t>
            </w:r>
          </w:p>
        </w:tc>
        <w:tc>
          <w:tcPr>
            <w:tcW w:w="1033" w:type="pct"/>
          </w:tcPr>
          <w:p w14:paraId="13AF9E59" w14:textId="71A3C02E" w:rsidR="003445AD" w:rsidRPr="00E14DE7" w:rsidRDefault="003445A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The Law 68, the Decree No. 366/2025/ND-CP and the Decree No. 365/2025/N</w:t>
            </w:r>
            <w:r w:rsidR="0004272D" w:rsidRPr="00E14DE7">
              <w:rPr>
                <w:rFonts w:cs="Times New Roman"/>
                <w:color w:val="000000" w:themeColor="text1"/>
                <w:sz w:val="22"/>
              </w:rPr>
              <w:t>D</w:t>
            </w:r>
            <w:r w:rsidRPr="00E14DE7">
              <w:rPr>
                <w:rFonts w:cs="Times New Roman"/>
                <w:color w:val="000000" w:themeColor="text1"/>
                <w:sz w:val="22"/>
              </w:rPr>
              <w:t>-CP specify Petrolimex’s reporting responsibilities to the owner representative agency in some circumstances.</w:t>
            </w:r>
          </w:p>
          <w:p w14:paraId="0752F761" w14:textId="3CD6189B" w:rsidR="003445AD" w:rsidRPr="00E14DE7" w:rsidRDefault="003445A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Accordingly, recommend to supplement to indicate the regulatory compliance of the Law on Management and Investment of State Capital in Enterprises and opening regulations unless the law specifies other regulations on future information disclosure obligations of the enterprise.</w:t>
            </w:r>
          </w:p>
        </w:tc>
      </w:tr>
      <w:tr w:rsidR="00C301A3" w:rsidRPr="00E14DE7" w14:paraId="13BD269B" w14:textId="77777777" w:rsidTr="00EB2EA0">
        <w:trPr>
          <w:trHeight w:val="20"/>
        </w:trPr>
        <w:tc>
          <w:tcPr>
            <w:tcW w:w="215" w:type="pct"/>
          </w:tcPr>
          <w:p w14:paraId="39F3F70C" w14:textId="77777777" w:rsidR="003445AD" w:rsidRPr="00E14DE7" w:rsidRDefault="003445A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5F5968C4" w14:textId="62A1BE98" w:rsidR="003445AD" w:rsidRPr="00E14DE7" w:rsidRDefault="003445AD" w:rsidP="00C301A3">
            <w:pPr>
              <w:widowControl w:val="0"/>
              <w:adjustRightInd w:val="0"/>
              <w:snapToGrid w:val="0"/>
              <w:spacing w:before="60" w:after="60"/>
              <w:rPr>
                <w:rFonts w:cs="Times New Roman"/>
                <w:noProof/>
                <w:sz w:val="22"/>
              </w:rPr>
            </w:pPr>
            <w:r w:rsidRPr="00E14DE7">
              <w:rPr>
                <w:rFonts w:cs="Times New Roman"/>
                <w:sz w:val="22"/>
              </w:rPr>
              <w:t>Article 55</w:t>
            </w:r>
          </w:p>
        </w:tc>
        <w:tc>
          <w:tcPr>
            <w:tcW w:w="1167" w:type="pct"/>
          </w:tcPr>
          <w:p w14:paraId="7219AF5F" w14:textId="77777777" w:rsidR="003445AD" w:rsidRPr="00E14DE7" w:rsidRDefault="003445AD" w:rsidP="00C301A3">
            <w:pPr>
              <w:jc w:val="both"/>
              <w:rPr>
                <w:rFonts w:cs="Times New Roman"/>
                <w:b/>
                <w:bCs/>
                <w:noProof/>
                <w:sz w:val="22"/>
              </w:rPr>
            </w:pPr>
            <w:r w:rsidRPr="00E14DE7">
              <w:rPr>
                <w:rFonts w:cs="Times New Roman"/>
                <w:b/>
                <w:sz w:val="22"/>
              </w:rPr>
              <w:t>Article 55. Training on Petrolimex governance</w:t>
            </w:r>
          </w:p>
          <w:p w14:paraId="04150624" w14:textId="5E69CDC4" w:rsidR="003445AD" w:rsidRPr="00E14DE7" w:rsidRDefault="003445AD" w:rsidP="00C301A3">
            <w:pPr>
              <w:jc w:val="both"/>
              <w:rPr>
                <w:rFonts w:cs="Times New Roman"/>
                <w:noProof/>
                <w:sz w:val="22"/>
              </w:rPr>
            </w:pPr>
            <w:r w:rsidRPr="00E14DE7">
              <w:rPr>
                <w:rFonts w:cs="Times New Roman"/>
                <w:sz w:val="22"/>
              </w:rPr>
              <w:t xml:space="preserve">The members of the Board of Management, the General </w:t>
            </w:r>
            <w:r w:rsidRPr="00E14DE7">
              <w:rPr>
                <w:rFonts w:cs="Times New Roman"/>
                <w:sz w:val="22"/>
              </w:rPr>
              <w:lastRenderedPageBreak/>
              <w:t>Director and Supervisors shall participate in corporate governance training courses held by the training institutions to improve their knowledge and satisfy the requirements of Petrolimex corporate governance tasks.</w:t>
            </w:r>
          </w:p>
        </w:tc>
        <w:tc>
          <w:tcPr>
            <w:tcW w:w="2011" w:type="pct"/>
          </w:tcPr>
          <w:p w14:paraId="1C07B498" w14:textId="77E118C0" w:rsidR="003445AD" w:rsidRPr="00E14DE7" w:rsidRDefault="003445AD" w:rsidP="00C301A3">
            <w:pPr>
              <w:jc w:val="both"/>
              <w:rPr>
                <w:rFonts w:cs="Times New Roman"/>
                <w:b/>
                <w:bCs/>
                <w:noProof/>
                <w:sz w:val="22"/>
              </w:rPr>
            </w:pPr>
            <w:r w:rsidRPr="00E14DE7">
              <w:rPr>
                <w:rFonts w:cs="Times New Roman"/>
                <w:b/>
                <w:sz w:val="22"/>
              </w:rPr>
              <w:lastRenderedPageBreak/>
              <w:t>Article 58. Training on Petrolimex governance</w:t>
            </w:r>
          </w:p>
          <w:p w14:paraId="35994BE0" w14:textId="6EA7DD45" w:rsidR="003445AD" w:rsidRPr="00E14DE7" w:rsidRDefault="003445AD" w:rsidP="00C301A3">
            <w:pPr>
              <w:jc w:val="both"/>
              <w:rPr>
                <w:rFonts w:cs="Times New Roman"/>
                <w:noProof/>
                <w:sz w:val="22"/>
              </w:rPr>
            </w:pPr>
            <w:r w:rsidRPr="00E14DE7">
              <w:rPr>
                <w:rFonts w:cs="Times New Roman"/>
                <w:sz w:val="22"/>
              </w:rPr>
              <w:t xml:space="preserve">The members of the Board of Management, the General Director and Supervisors shall participate in corporate governance training courses </w:t>
            </w:r>
            <w:r w:rsidRPr="00E14DE7">
              <w:rPr>
                <w:rFonts w:cs="Times New Roman"/>
                <w:strike/>
                <w:sz w:val="22"/>
              </w:rPr>
              <w:t xml:space="preserve">held by the training </w:t>
            </w:r>
            <w:r w:rsidRPr="00E14DE7">
              <w:rPr>
                <w:rFonts w:cs="Times New Roman"/>
                <w:strike/>
                <w:sz w:val="22"/>
              </w:rPr>
              <w:lastRenderedPageBreak/>
              <w:t>institutions</w:t>
            </w:r>
            <w:r w:rsidRPr="00E14DE7">
              <w:rPr>
                <w:rFonts w:cs="Times New Roman"/>
                <w:sz w:val="22"/>
              </w:rPr>
              <w:t xml:space="preserve"> to improve their knowledge and satisfy the requirements of Petrolimex corporate governance tasks.</w:t>
            </w:r>
          </w:p>
        </w:tc>
        <w:tc>
          <w:tcPr>
            <w:tcW w:w="1033" w:type="pct"/>
          </w:tcPr>
          <w:p w14:paraId="55009E13" w14:textId="38E086CB" w:rsidR="003445AD" w:rsidRPr="00E14DE7" w:rsidRDefault="003445AD" w:rsidP="00C301A3">
            <w:pPr>
              <w:widowControl w:val="0"/>
              <w:adjustRightInd w:val="0"/>
              <w:snapToGrid w:val="0"/>
              <w:spacing w:before="60" w:after="60"/>
              <w:jc w:val="both"/>
              <w:rPr>
                <w:rFonts w:cs="Times New Roman"/>
                <w:noProof/>
                <w:sz w:val="22"/>
              </w:rPr>
            </w:pPr>
            <w:r w:rsidRPr="00E14DE7">
              <w:rPr>
                <w:rFonts w:cs="Times New Roman"/>
                <w:sz w:val="22"/>
              </w:rPr>
              <w:lastRenderedPageBreak/>
              <w:t xml:space="preserve">Remove “training institutions” as this expression may be misunderstood that it is only </w:t>
            </w:r>
            <w:r w:rsidRPr="00E14DE7">
              <w:rPr>
                <w:rFonts w:cs="Times New Roman"/>
                <w:sz w:val="22"/>
              </w:rPr>
              <w:lastRenderedPageBreak/>
              <w:t>applied to the regulatory training institutions on education, restricting the capacity to organize the internal training courses held by Petrolimex with various subjects, without limiting as training institutions, for example, companies providing business administration, trademark management consultancy services, etc.</w:t>
            </w:r>
          </w:p>
        </w:tc>
      </w:tr>
      <w:tr w:rsidR="00C301A3" w:rsidRPr="00E14DE7" w14:paraId="18BB2576" w14:textId="77777777" w:rsidTr="00EB2EA0">
        <w:trPr>
          <w:trHeight w:val="20"/>
        </w:trPr>
        <w:tc>
          <w:tcPr>
            <w:tcW w:w="215" w:type="pct"/>
          </w:tcPr>
          <w:p w14:paraId="4CAACD60" w14:textId="77777777" w:rsidR="003445AD" w:rsidRPr="00E14DE7" w:rsidRDefault="003445A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4F95B45D" w14:textId="057DC33B" w:rsidR="003445AD" w:rsidRPr="00E14DE7" w:rsidRDefault="003445AD" w:rsidP="00C301A3">
            <w:pPr>
              <w:widowControl w:val="0"/>
              <w:adjustRightInd w:val="0"/>
              <w:snapToGrid w:val="0"/>
              <w:spacing w:before="60" w:after="60"/>
              <w:rPr>
                <w:rFonts w:cs="Times New Roman"/>
                <w:noProof/>
                <w:sz w:val="22"/>
              </w:rPr>
            </w:pPr>
            <w:r w:rsidRPr="00E14DE7">
              <w:rPr>
                <w:rFonts w:cs="Times New Roman"/>
                <w:sz w:val="22"/>
              </w:rPr>
              <w:t>Article 56, Clause 1</w:t>
            </w:r>
          </w:p>
        </w:tc>
        <w:tc>
          <w:tcPr>
            <w:tcW w:w="1167" w:type="pct"/>
          </w:tcPr>
          <w:p w14:paraId="44B76774" w14:textId="77777777" w:rsidR="003445AD" w:rsidRPr="00E14DE7" w:rsidRDefault="003445AD" w:rsidP="00C301A3">
            <w:pPr>
              <w:jc w:val="both"/>
              <w:rPr>
                <w:rFonts w:cs="Times New Roman"/>
                <w:noProof/>
                <w:sz w:val="22"/>
              </w:rPr>
            </w:pPr>
            <w:r w:rsidRPr="00E14DE7">
              <w:rPr>
                <w:rFonts w:cs="Times New Roman"/>
                <w:sz w:val="22"/>
              </w:rPr>
              <w:t>1. In case of disputes and claims related to Petrolimex’s activities, rights and obligations of the shareholders as prescribed in the Petrolimex Charter, the Law on Enterprises, other laws or administrative regulations between:</w:t>
            </w:r>
          </w:p>
          <w:p w14:paraId="4B08AFBF" w14:textId="77777777" w:rsidR="003445AD" w:rsidRPr="00E14DE7" w:rsidRDefault="003445AD" w:rsidP="00C301A3">
            <w:pPr>
              <w:jc w:val="both"/>
              <w:rPr>
                <w:rFonts w:cs="Times New Roman"/>
                <w:noProof/>
                <w:sz w:val="22"/>
              </w:rPr>
            </w:pPr>
            <w:r w:rsidRPr="00E14DE7">
              <w:rPr>
                <w:rFonts w:cs="Times New Roman"/>
                <w:sz w:val="22"/>
              </w:rPr>
              <w:t>a) Shareholders and Petrolimex; or</w:t>
            </w:r>
          </w:p>
          <w:p w14:paraId="274B0DBA" w14:textId="77777777" w:rsidR="003445AD" w:rsidRPr="00E14DE7" w:rsidRDefault="003445AD" w:rsidP="00C301A3">
            <w:pPr>
              <w:jc w:val="both"/>
              <w:rPr>
                <w:rFonts w:cs="Times New Roman"/>
                <w:noProof/>
                <w:sz w:val="22"/>
              </w:rPr>
            </w:pPr>
            <w:r w:rsidRPr="00E14DE7">
              <w:rPr>
                <w:rFonts w:cs="Times New Roman"/>
                <w:sz w:val="22"/>
              </w:rPr>
              <w:t>b) The shareholders and Board of Management, the Supervisory Board, the General Director, Deputy General Directors or other managers.</w:t>
            </w:r>
          </w:p>
          <w:p w14:paraId="3D35417B" w14:textId="055A5C29" w:rsidR="003445AD" w:rsidRPr="00E14DE7" w:rsidRDefault="003445AD" w:rsidP="00C301A3">
            <w:pPr>
              <w:jc w:val="both"/>
              <w:rPr>
                <w:rFonts w:cs="Times New Roman"/>
                <w:b/>
                <w:bCs/>
                <w:noProof/>
                <w:sz w:val="22"/>
              </w:rPr>
            </w:pPr>
            <w:r w:rsidRPr="00E14DE7">
              <w:rPr>
                <w:rFonts w:cs="Times New Roman"/>
                <w:sz w:val="22"/>
              </w:rPr>
              <w:t xml:space="preserve">Such disputes must be firstly handled by amicable settlement. Unless the disputes are related to the Board of Management or Chairman of the Board of Management, the Chairman of the Board of Management shall </w:t>
            </w:r>
            <w:r w:rsidRPr="00E14DE7">
              <w:rPr>
                <w:rFonts w:cs="Times New Roman"/>
                <w:sz w:val="22"/>
              </w:rPr>
              <w:lastRenderedPageBreak/>
              <w:t>preside the dispute settlement and request each party to present the dispute-related information within 15 working days since date of dispute. Where the disputes are related to the Board of Management or the Chairman of the Board of Management, any party may request the Head of the Supervisory Board or appoint an independent expert as intermediary reconciler for the dispute settlement.</w:t>
            </w:r>
          </w:p>
        </w:tc>
        <w:tc>
          <w:tcPr>
            <w:tcW w:w="2011" w:type="pct"/>
          </w:tcPr>
          <w:p w14:paraId="6E0B9220" w14:textId="7951D184" w:rsidR="0048763F" w:rsidRPr="00E14DE7" w:rsidRDefault="0048763F" w:rsidP="00C301A3">
            <w:pPr>
              <w:jc w:val="both"/>
              <w:rPr>
                <w:rFonts w:cs="Times New Roman"/>
                <w:noProof/>
                <w:sz w:val="22"/>
              </w:rPr>
            </w:pPr>
            <w:r w:rsidRPr="00E14DE7">
              <w:rPr>
                <w:rFonts w:cs="Times New Roman"/>
                <w:sz w:val="22"/>
              </w:rPr>
              <w:lastRenderedPageBreak/>
              <w:t>Article 59</w:t>
            </w:r>
          </w:p>
          <w:p w14:paraId="768E3E39" w14:textId="7C874FC1" w:rsidR="003445AD" w:rsidRPr="00E14DE7" w:rsidRDefault="003445AD" w:rsidP="00C301A3">
            <w:pPr>
              <w:jc w:val="both"/>
              <w:rPr>
                <w:rFonts w:cs="Times New Roman"/>
                <w:noProof/>
                <w:sz w:val="22"/>
              </w:rPr>
            </w:pPr>
            <w:r w:rsidRPr="00E14DE7">
              <w:rPr>
                <w:rFonts w:cs="Times New Roman"/>
                <w:sz w:val="22"/>
              </w:rPr>
              <w:t xml:space="preserve">1. In case of disputes and claims related to Petrolimex’s activities, rights and obligations of the shareholders as prescribed in the Petrolimex Charter, the Law on Enterprises, other laws </w:t>
            </w:r>
            <w:r w:rsidRPr="00E14DE7">
              <w:rPr>
                <w:rFonts w:cs="Times New Roman"/>
                <w:strike/>
                <w:sz w:val="22"/>
              </w:rPr>
              <w:t>, or administrative</w:t>
            </w:r>
            <w:r w:rsidRPr="00E14DE7">
              <w:rPr>
                <w:rFonts w:cs="Times New Roman"/>
                <w:sz w:val="22"/>
              </w:rPr>
              <w:t xml:space="preserve"> regulations between:</w:t>
            </w:r>
          </w:p>
          <w:p w14:paraId="49F60CCA" w14:textId="77777777" w:rsidR="003445AD" w:rsidRPr="00E14DE7" w:rsidRDefault="003445AD" w:rsidP="00C301A3">
            <w:pPr>
              <w:jc w:val="both"/>
              <w:rPr>
                <w:rFonts w:cs="Times New Roman"/>
                <w:noProof/>
                <w:sz w:val="22"/>
              </w:rPr>
            </w:pPr>
            <w:r w:rsidRPr="00E14DE7">
              <w:rPr>
                <w:rFonts w:cs="Times New Roman"/>
                <w:sz w:val="22"/>
              </w:rPr>
              <w:t>a) Shareholders and Petrolimex; or</w:t>
            </w:r>
          </w:p>
          <w:p w14:paraId="7F55736D" w14:textId="77777777" w:rsidR="003445AD" w:rsidRPr="00E14DE7" w:rsidRDefault="003445AD" w:rsidP="00C301A3">
            <w:pPr>
              <w:jc w:val="both"/>
              <w:rPr>
                <w:rFonts w:cs="Times New Roman"/>
                <w:noProof/>
                <w:sz w:val="22"/>
              </w:rPr>
            </w:pPr>
            <w:r w:rsidRPr="00E14DE7">
              <w:rPr>
                <w:rFonts w:cs="Times New Roman"/>
                <w:sz w:val="22"/>
              </w:rPr>
              <w:t>b) The shareholders and Board of Management, the Supervisory Board, the General Director, Deputy General Directors or other managers.</w:t>
            </w:r>
          </w:p>
          <w:p w14:paraId="0C3A18D5" w14:textId="6E5AC467" w:rsidR="003445AD" w:rsidRPr="00E14DE7" w:rsidRDefault="003445AD" w:rsidP="00C301A3">
            <w:pPr>
              <w:jc w:val="both"/>
              <w:rPr>
                <w:rFonts w:cs="Times New Roman"/>
                <w:noProof/>
                <w:sz w:val="22"/>
              </w:rPr>
            </w:pPr>
            <w:r w:rsidRPr="00E14DE7">
              <w:rPr>
                <w:rFonts w:cs="Times New Roman"/>
                <w:sz w:val="22"/>
              </w:rPr>
              <w:t xml:space="preserve">Such disputes must be firstly handled by amicable settlement. </w:t>
            </w:r>
            <w:r w:rsidR="00E14DE7" w:rsidRPr="00E14DE7">
              <w:rPr>
                <w:rFonts w:cs="Times New Roman"/>
                <w:sz w:val="22"/>
              </w:rPr>
              <w:t>Unless the disputes are related to the Board of Management or Chairman of the Board of Management, the Chairman of the Board of Management shall preside</w:t>
            </w:r>
            <w:r w:rsidR="00E14DE7">
              <w:rPr>
                <w:rFonts w:cs="Times New Roman"/>
                <w:sz w:val="22"/>
              </w:rPr>
              <w:t xml:space="preserve"> over</w:t>
            </w:r>
            <w:r w:rsidR="00E14DE7" w:rsidRPr="00E14DE7">
              <w:rPr>
                <w:rFonts w:cs="Times New Roman"/>
                <w:sz w:val="22"/>
              </w:rPr>
              <w:t xml:space="preserve"> the dispute settlement and request each party to present the </w:t>
            </w:r>
            <w:r w:rsidR="00E14DE7" w:rsidRPr="00E14DE7">
              <w:rPr>
                <w:rFonts w:cs="Times New Roman"/>
                <w:strike/>
                <w:sz w:val="22"/>
              </w:rPr>
              <w:t>real factors</w:t>
            </w:r>
            <w:r w:rsidR="00E14DE7" w:rsidRPr="00E14DE7">
              <w:rPr>
                <w:rFonts w:cs="Times New Roman"/>
                <w:sz w:val="22"/>
              </w:rPr>
              <w:t xml:space="preserve"> dispute-related </w:t>
            </w:r>
            <w:r w:rsidR="00E14DE7" w:rsidRPr="00E14DE7">
              <w:rPr>
                <w:rFonts w:cs="Times New Roman"/>
                <w:sz w:val="22"/>
                <w:u w:val="single"/>
              </w:rPr>
              <w:t>information</w:t>
            </w:r>
            <w:r w:rsidR="00E14DE7" w:rsidRPr="00E14DE7">
              <w:rPr>
                <w:rFonts w:cs="Times New Roman"/>
                <w:sz w:val="22"/>
              </w:rPr>
              <w:t xml:space="preserve"> within 15 working days since date of dispute. </w:t>
            </w:r>
            <w:r w:rsidRPr="00E14DE7">
              <w:rPr>
                <w:rFonts w:cs="Times New Roman"/>
                <w:sz w:val="22"/>
              </w:rPr>
              <w:t xml:space="preserve">Where the disputes are related to the Board of Management or the Chairman of the Board of Management, any party may request the Head of Supervisory Board or appoint an independent expert </w:t>
            </w:r>
            <w:r w:rsidRPr="00E14DE7">
              <w:rPr>
                <w:rFonts w:cs="Times New Roman"/>
                <w:strike/>
                <w:sz w:val="22"/>
              </w:rPr>
              <w:t>to act as arbitrator</w:t>
            </w:r>
            <w:r w:rsidRPr="00E14DE7">
              <w:rPr>
                <w:rFonts w:cs="Times New Roman"/>
                <w:sz w:val="22"/>
              </w:rPr>
              <w:t xml:space="preserve"> </w:t>
            </w:r>
            <w:r w:rsidRPr="00E14DE7">
              <w:rPr>
                <w:rFonts w:cs="Times New Roman"/>
                <w:sz w:val="22"/>
                <w:u w:val="single"/>
              </w:rPr>
              <w:t>as intermediary reconciler</w:t>
            </w:r>
            <w:r w:rsidRPr="00E14DE7">
              <w:rPr>
                <w:rFonts w:cs="Times New Roman"/>
                <w:sz w:val="22"/>
              </w:rPr>
              <w:t xml:space="preserve"> for the dispute settlement. </w:t>
            </w:r>
          </w:p>
          <w:p w14:paraId="3F1DE287" w14:textId="77777777" w:rsidR="003445AD" w:rsidRPr="00E14DE7" w:rsidRDefault="003445AD" w:rsidP="00C301A3">
            <w:pPr>
              <w:jc w:val="both"/>
              <w:rPr>
                <w:rFonts w:cs="Times New Roman"/>
                <w:b/>
                <w:bCs/>
                <w:noProof/>
                <w:sz w:val="22"/>
              </w:rPr>
            </w:pPr>
          </w:p>
        </w:tc>
        <w:tc>
          <w:tcPr>
            <w:tcW w:w="1033" w:type="pct"/>
          </w:tcPr>
          <w:p w14:paraId="2BD75D26" w14:textId="7F4F153E" w:rsidR="003445AD" w:rsidRPr="00E14DE7" w:rsidRDefault="003445AD" w:rsidP="00C301A3">
            <w:pPr>
              <w:spacing w:before="60" w:after="60"/>
              <w:jc w:val="both"/>
              <w:rPr>
                <w:rFonts w:cs="Times New Roman"/>
                <w:noProof/>
                <w:sz w:val="22"/>
              </w:rPr>
            </w:pPr>
            <w:r w:rsidRPr="00E14DE7">
              <w:rPr>
                <w:rFonts w:cs="Times New Roman"/>
                <w:sz w:val="22"/>
              </w:rPr>
              <w:lastRenderedPageBreak/>
              <w:t xml:space="preserve">Amend </w:t>
            </w:r>
            <w:r w:rsidR="007F1352" w:rsidRPr="00E14DE7">
              <w:rPr>
                <w:rFonts w:cs="Times New Roman"/>
                <w:sz w:val="22"/>
              </w:rPr>
              <w:t>to ensure compliance with Article</w:t>
            </w:r>
            <w:r w:rsidRPr="00E14DE7">
              <w:rPr>
                <w:rFonts w:cs="Times New Roman"/>
                <w:sz w:val="22"/>
              </w:rPr>
              <w:t xml:space="preserve"> 61, Clause 1 of the 2026 Draft Charter.</w:t>
            </w:r>
          </w:p>
          <w:p w14:paraId="78881C85" w14:textId="77777777" w:rsidR="003445AD" w:rsidRPr="00E14DE7" w:rsidRDefault="003445AD" w:rsidP="00C301A3">
            <w:pPr>
              <w:widowControl w:val="0"/>
              <w:adjustRightInd w:val="0"/>
              <w:snapToGrid w:val="0"/>
              <w:spacing w:before="60" w:after="60"/>
              <w:jc w:val="both"/>
              <w:rPr>
                <w:rFonts w:cs="Times New Roman"/>
                <w:noProof/>
                <w:sz w:val="22"/>
              </w:rPr>
            </w:pPr>
          </w:p>
        </w:tc>
      </w:tr>
      <w:tr w:rsidR="00C301A3" w:rsidRPr="00E14DE7" w14:paraId="61F2AF4F" w14:textId="77777777" w:rsidTr="00EB2EA0">
        <w:trPr>
          <w:trHeight w:val="20"/>
        </w:trPr>
        <w:tc>
          <w:tcPr>
            <w:tcW w:w="215" w:type="pct"/>
          </w:tcPr>
          <w:p w14:paraId="06C7093F" w14:textId="77777777" w:rsidR="003445AD" w:rsidRPr="00E14DE7" w:rsidRDefault="003445A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1CBA7880" w14:textId="1983231C" w:rsidR="003445AD" w:rsidRPr="00E14DE7" w:rsidRDefault="003445AD" w:rsidP="00C301A3">
            <w:pPr>
              <w:widowControl w:val="0"/>
              <w:adjustRightInd w:val="0"/>
              <w:snapToGrid w:val="0"/>
              <w:spacing w:before="60" w:after="60"/>
              <w:rPr>
                <w:rFonts w:cs="Times New Roman"/>
                <w:color w:val="000000" w:themeColor="text1"/>
                <w:sz w:val="22"/>
              </w:rPr>
            </w:pPr>
            <w:r w:rsidRPr="00E14DE7">
              <w:rPr>
                <w:rFonts w:cs="Times New Roman"/>
                <w:color w:val="000000" w:themeColor="text1"/>
                <w:sz w:val="22"/>
              </w:rPr>
              <w:t>Article 56, Clause 2</w:t>
            </w:r>
          </w:p>
        </w:tc>
        <w:tc>
          <w:tcPr>
            <w:tcW w:w="1167" w:type="pct"/>
          </w:tcPr>
          <w:p w14:paraId="1F435758" w14:textId="25602E97" w:rsidR="003445AD" w:rsidRPr="00E14DE7" w:rsidRDefault="00A1274F"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2. If the reconciliation decision is not made within 06 weeks since commencement date of the reconciliation or if the decision of the intermediary reconciler is not accepted by the parties, such disputes shall be put forward to the Economic Tribunal or Economic Court.</w:t>
            </w:r>
          </w:p>
          <w:p w14:paraId="38AD8C55" w14:textId="77777777" w:rsidR="003445AD" w:rsidRPr="00E14DE7" w:rsidRDefault="003445AD" w:rsidP="00C301A3">
            <w:pPr>
              <w:widowControl w:val="0"/>
              <w:adjustRightInd w:val="0"/>
              <w:snapToGrid w:val="0"/>
              <w:spacing w:before="60" w:after="60"/>
              <w:jc w:val="both"/>
              <w:rPr>
                <w:rFonts w:cs="Times New Roman"/>
                <w:bCs/>
                <w:color w:val="000000"/>
                <w:sz w:val="22"/>
              </w:rPr>
            </w:pPr>
          </w:p>
        </w:tc>
        <w:tc>
          <w:tcPr>
            <w:tcW w:w="2011" w:type="pct"/>
          </w:tcPr>
          <w:p w14:paraId="3A94F2A5" w14:textId="51C8531E" w:rsidR="00A1274F" w:rsidRPr="00E14DE7" w:rsidRDefault="00A1274F"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Article 59</w:t>
            </w:r>
          </w:p>
          <w:p w14:paraId="74ED7DCE" w14:textId="474AB75D" w:rsidR="003445AD" w:rsidRPr="00E14DE7" w:rsidRDefault="00A1274F"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 xml:space="preserve">2. If </w:t>
            </w:r>
            <w:r w:rsidRPr="00E14DE7">
              <w:rPr>
                <w:rFonts w:cs="Times New Roman"/>
                <w:color w:val="000000"/>
                <w:sz w:val="22"/>
                <w:u w:val="single"/>
              </w:rPr>
              <w:t>the Head of Supervisory Board fails to appoint the independent experts as intermediate mediator or the reconciliation decision</w:t>
            </w:r>
            <w:r w:rsidRPr="00E14DE7">
              <w:rPr>
                <w:rFonts w:cs="Times New Roman"/>
                <w:color w:val="000000"/>
                <w:sz w:val="22"/>
              </w:rPr>
              <w:t xml:space="preserve"> is not made within 06 weeks since commencement date of the reconciliation or if the decision of the intermediary reconciler is not accepted by the parties, such disputes shall be put forward to the </w:t>
            </w:r>
            <w:r w:rsidRPr="00E14DE7">
              <w:rPr>
                <w:rFonts w:cs="Times New Roman"/>
                <w:strike/>
                <w:color w:val="000000"/>
                <w:sz w:val="22"/>
              </w:rPr>
              <w:t>Economic</w:t>
            </w:r>
            <w:r w:rsidRPr="00E14DE7">
              <w:rPr>
                <w:rFonts w:cs="Times New Roman"/>
                <w:color w:val="000000"/>
                <w:sz w:val="22"/>
              </w:rPr>
              <w:t xml:space="preserve"> </w:t>
            </w:r>
            <w:r w:rsidRPr="00E14DE7">
              <w:rPr>
                <w:rFonts w:cs="Times New Roman"/>
                <w:color w:val="000000"/>
                <w:sz w:val="22"/>
                <w:u w:val="single"/>
              </w:rPr>
              <w:t>Tribunal</w:t>
            </w:r>
            <w:r w:rsidRPr="00E14DE7">
              <w:rPr>
                <w:rFonts w:cs="Times New Roman"/>
                <w:color w:val="000000"/>
                <w:sz w:val="22"/>
              </w:rPr>
              <w:t xml:space="preserve"> or </w:t>
            </w:r>
            <w:r w:rsidRPr="00E14DE7">
              <w:rPr>
                <w:rFonts w:cs="Times New Roman"/>
                <w:strike/>
                <w:color w:val="000000"/>
                <w:sz w:val="22"/>
              </w:rPr>
              <w:t>Economic</w:t>
            </w:r>
            <w:r w:rsidRPr="00E14DE7">
              <w:rPr>
                <w:rFonts w:cs="Times New Roman"/>
                <w:color w:val="000000"/>
                <w:sz w:val="22"/>
                <w:u w:val="single"/>
              </w:rPr>
              <w:t xml:space="preserve"> Court.</w:t>
            </w:r>
          </w:p>
        </w:tc>
        <w:tc>
          <w:tcPr>
            <w:tcW w:w="1033" w:type="pct"/>
          </w:tcPr>
          <w:p w14:paraId="56003B60" w14:textId="0DF72F91" w:rsidR="003445AD" w:rsidRPr="00E14DE7" w:rsidRDefault="003445A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The amended contents aim to be consistent with Article 61, clause 2 of the 2026 Draft Charter.</w:t>
            </w:r>
          </w:p>
        </w:tc>
      </w:tr>
      <w:tr w:rsidR="00C301A3" w:rsidRPr="00E14DE7" w14:paraId="70B34F65" w14:textId="77777777" w:rsidTr="00EB2EA0">
        <w:trPr>
          <w:trHeight w:val="20"/>
        </w:trPr>
        <w:tc>
          <w:tcPr>
            <w:tcW w:w="215" w:type="pct"/>
          </w:tcPr>
          <w:p w14:paraId="060184AF" w14:textId="77777777" w:rsidR="003445AD" w:rsidRPr="00E14DE7" w:rsidRDefault="003445A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034BE879" w14:textId="1DAE2C49" w:rsidR="003445AD" w:rsidRPr="00E14DE7" w:rsidRDefault="003445AD" w:rsidP="00C301A3">
            <w:pPr>
              <w:widowControl w:val="0"/>
              <w:adjustRightInd w:val="0"/>
              <w:snapToGrid w:val="0"/>
              <w:spacing w:before="60" w:after="60"/>
              <w:rPr>
                <w:rFonts w:cs="Times New Roman"/>
                <w:color w:val="000000" w:themeColor="text1"/>
                <w:sz w:val="22"/>
              </w:rPr>
            </w:pPr>
            <w:r w:rsidRPr="00E14DE7">
              <w:rPr>
                <w:rFonts w:cs="Times New Roman"/>
                <w:color w:val="000000" w:themeColor="text1"/>
                <w:sz w:val="22"/>
              </w:rPr>
              <w:t>Article 56, Clause 3</w:t>
            </w:r>
          </w:p>
        </w:tc>
        <w:tc>
          <w:tcPr>
            <w:tcW w:w="1167" w:type="pct"/>
          </w:tcPr>
          <w:p w14:paraId="12222B97" w14:textId="44B03716" w:rsidR="003445AD" w:rsidRPr="00E14DE7" w:rsidRDefault="0027425C"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3. Costs related to the negotiation and amicable settlement procedure shall be borne by each party. Payment of Court fees shall be complied with the Court’s judgment.</w:t>
            </w:r>
          </w:p>
        </w:tc>
        <w:tc>
          <w:tcPr>
            <w:tcW w:w="2011" w:type="pct"/>
          </w:tcPr>
          <w:p w14:paraId="2A68715B" w14:textId="1A186D32" w:rsidR="003017FF" w:rsidRPr="00E14DE7" w:rsidRDefault="003017FF"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Article 59</w:t>
            </w:r>
          </w:p>
          <w:p w14:paraId="43EEE892" w14:textId="6A07056F" w:rsidR="003445AD" w:rsidRPr="00E14DE7" w:rsidRDefault="003017FF" w:rsidP="00C301A3">
            <w:pPr>
              <w:widowControl w:val="0"/>
              <w:adjustRightInd w:val="0"/>
              <w:snapToGrid w:val="0"/>
              <w:spacing w:before="60" w:after="60"/>
              <w:jc w:val="both"/>
              <w:rPr>
                <w:rFonts w:cs="Times New Roman"/>
                <w:bCs/>
                <w:color w:val="000000"/>
                <w:sz w:val="22"/>
              </w:rPr>
            </w:pPr>
            <w:r w:rsidRPr="00E14DE7">
              <w:rPr>
                <w:rFonts w:cs="Times New Roman"/>
                <w:color w:val="000000"/>
                <w:sz w:val="22"/>
              </w:rPr>
              <w:t xml:space="preserve">3. Costs related to the negotiation and amicable settlement procedure shall be borne by each party. Payment of </w:t>
            </w:r>
            <w:r w:rsidRPr="00E14DE7">
              <w:rPr>
                <w:rFonts w:cs="Times New Roman"/>
                <w:color w:val="000000"/>
                <w:sz w:val="22"/>
                <w:u w:val="single"/>
              </w:rPr>
              <w:t>Arbitration</w:t>
            </w:r>
            <w:r w:rsidRPr="00E14DE7">
              <w:rPr>
                <w:rFonts w:cs="Times New Roman"/>
                <w:color w:val="000000"/>
                <w:sz w:val="22"/>
              </w:rPr>
              <w:t xml:space="preserve"> and Court fees shall be complied with the judgment of the </w:t>
            </w:r>
            <w:r w:rsidRPr="00E14DE7">
              <w:rPr>
                <w:rFonts w:cs="Times New Roman"/>
                <w:color w:val="000000"/>
                <w:sz w:val="22"/>
                <w:u w:val="single"/>
              </w:rPr>
              <w:t>Arbitration</w:t>
            </w:r>
            <w:r w:rsidRPr="00E14DE7">
              <w:rPr>
                <w:rFonts w:cs="Times New Roman"/>
                <w:color w:val="000000"/>
                <w:sz w:val="22"/>
              </w:rPr>
              <w:t xml:space="preserve"> or Court.</w:t>
            </w:r>
          </w:p>
        </w:tc>
        <w:tc>
          <w:tcPr>
            <w:tcW w:w="1033" w:type="pct"/>
          </w:tcPr>
          <w:p w14:paraId="3F5D131F" w14:textId="5EE88A97" w:rsidR="003445AD" w:rsidRPr="00E14DE7" w:rsidRDefault="003445AD" w:rsidP="00C301A3">
            <w:pPr>
              <w:widowControl w:val="0"/>
              <w:adjustRightInd w:val="0"/>
              <w:snapToGrid w:val="0"/>
              <w:spacing w:before="60" w:after="60"/>
              <w:jc w:val="both"/>
              <w:rPr>
                <w:rFonts w:cs="Times New Roman"/>
                <w:color w:val="000000" w:themeColor="text1"/>
                <w:sz w:val="22"/>
              </w:rPr>
            </w:pPr>
            <w:r w:rsidRPr="00E14DE7">
              <w:rPr>
                <w:rFonts w:cs="Times New Roman"/>
                <w:color w:val="000000" w:themeColor="text1"/>
                <w:sz w:val="22"/>
              </w:rPr>
              <w:t>The amended contents aim to be consistent with Article 61, clause 3 of the 2026 Draft Charter.</w:t>
            </w:r>
          </w:p>
        </w:tc>
      </w:tr>
      <w:tr w:rsidR="00C301A3" w:rsidRPr="00E14DE7" w14:paraId="3C282489" w14:textId="77777777" w:rsidTr="00EB2EA0">
        <w:trPr>
          <w:trHeight w:val="20"/>
        </w:trPr>
        <w:tc>
          <w:tcPr>
            <w:tcW w:w="215" w:type="pct"/>
          </w:tcPr>
          <w:p w14:paraId="12DDC5EB" w14:textId="77777777" w:rsidR="003445AD" w:rsidRPr="00E14DE7" w:rsidRDefault="003445AD" w:rsidP="00EB2EA0">
            <w:pPr>
              <w:pStyle w:val="ListParagraph"/>
              <w:widowControl w:val="0"/>
              <w:numPr>
                <w:ilvl w:val="0"/>
                <w:numId w:val="37"/>
              </w:numPr>
              <w:adjustRightInd w:val="0"/>
              <w:snapToGrid w:val="0"/>
              <w:spacing w:before="60" w:after="60"/>
              <w:contextualSpacing w:val="0"/>
              <w:jc w:val="center"/>
              <w:rPr>
                <w:rFonts w:cs="Times New Roman"/>
                <w:sz w:val="22"/>
              </w:rPr>
            </w:pPr>
          </w:p>
        </w:tc>
        <w:tc>
          <w:tcPr>
            <w:tcW w:w="574" w:type="pct"/>
          </w:tcPr>
          <w:p w14:paraId="60FE8F7A" w14:textId="20E22935" w:rsidR="003445AD" w:rsidRPr="00E14DE7" w:rsidRDefault="003445AD" w:rsidP="00C301A3">
            <w:pPr>
              <w:widowControl w:val="0"/>
              <w:adjustRightInd w:val="0"/>
              <w:snapToGrid w:val="0"/>
              <w:spacing w:before="60" w:after="60"/>
              <w:rPr>
                <w:rFonts w:cs="Times New Roman"/>
                <w:color w:val="000000" w:themeColor="text1"/>
                <w:sz w:val="22"/>
              </w:rPr>
            </w:pPr>
            <w:r w:rsidRPr="00E14DE7">
              <w:rPr>
                <w:rFonts w:cs="Times New Roman"/>
                <w:sz w:val="22"/>
              </w:rPr>
              <w:t xml:space="preserve">Article 57, Clause 1, </w:t>
            </w:r>
          </w:p>
        </w:tc>
        <w:tc>
          <w:tcPr>
            <w:tcW w:w="1167" w:type="pct"/>
          </w:tcPr>
          <w:p w14:paraId="181AADB6" w14:textId="2B4EB801" w:rsidR="003445AD" w:rsidRPr="00E14DE7" w:rsidRDefault="003445AD" w:rsidP="00C301A3">
            <w:pPr>
              <w:jc w:val="both"/>
              <w:rPr>
                <w:rFonts w:cs="Times New Roman"/>
                <w:noProof/>
                <w:sz w:val="22"/>
              </w:rPr>
            </w:pPr>
            <w:r w:rsidRPr="00E14DE7">
              <w:rPr>
                <w:rFonts w:cs="Times New Roman"/>
                <w:sz w:val="22"/>
              </w:rPr>
              <w:t>1. This Regulation comprises of 10 chapter</w:t>
            </w:r>
            <w:r w:rsidR="00AE4F39" w:rsidRPr="00E14DE7">
              <w:rPr>
                <w:rFonts w:cs="Times New Roman"/>
                <w:sz w:val="22"/>
              </w:rPr>
              <w:t>s</w:t>
            </w:r>
            <w:r w:rsidRPr="00E14DE7">
              <w:rPr>
                <w:rFonts w:cs="Times New Roman"/>
                <w:sz w:val="22"/>
              </w:rPr>
              <w:t xml:space="preserve">, 57 Articles and comes into effect since approval date. Any provisions contrary to this Regulation </w:t>
            </w:r>
            <w:r w:rsidR="0088384F" w:rsidRPr="00E14DE7">
              <w:rPr>
                <w:rFonts w:cs="Times New Roman"/>
                <w:sz w:val="22"/>
              </w:rPr>
              <w:t>annulled</w:t>
            </w:r>
            <w:r w:rsidRPr="00E14DE7">
              <w:rPr>
                <w:rFonts w:cs="Times New Roman"/>
                <w:sz w:val="22"/>
              </w:rPr>
              <w:t>.</w:t>
            </w:r>
          </w:p>
          <w:p w14:paraId="20D3239F" w14:textId="0F96B276" w:rsidR="003445AD" w:rsidRPr="00E14DE7" w:rsidRDefault="003445AD" w:rsidP="00C301A3">
            <w:pPr>
              <w:jc w:val="both"/>
              <w:rPr>
                <w:rFonts w:cs="Times New Roman"/>
                <w:noProof/>
                <w:sz w:val="22"/>
              </w:rPr>
            </w:pPr>
          </w:p>
        </w:tc>
        <w:tc>
          <w:tcPr>
            <w:tcW w:w="2011" w:type="pct"/>
          </w:tcPr>
          <w:p w14:paraId="63A8132B" w14:textId="1F80D342" w:rsidR="00D75924" w:rsidRPr="00E14DE7" w:rsidRDefault="00D75924" w:rsidP="00C301A3">
            <w:pPr>
              <w:jc w:val="both"/>
              <w:rPr>
                <w:rFonts w:cs="Times New Roman"/>
                <w:noProof/>
                <w:sz w:val="22"/>
              </w:rPr>
            </w:pPr>
            <w:r w:rsidRPr="00E14DE7">
              <w:rPr>
                <w:rFonts w:cs="Times New Roman"/>
                <w:sz w:val="22"/>
              </w:rPr>
              <w:lastRenderedPageBreak/>
              <w:t>Article 60</w:t>
            </w:r>
          </w:p>
          <w:p w14:paraId="27D3D22D" w14:textId="41BF2838" w:rsidR="003445AD" w:rsidRPr="00E14DE7" w:rsidRDefault="003445AD" w:rsidP="00C301A3">
            <w:pPr>
              <w:jc w:val="both"/>
              <w:rPr>
                <w:rFonts w:cs="Times New Roman"/>
                <w:noProof/>
                <w:sz w:val="22"/>
              </w:rPr>
            </w:pPr>
            <w:r w:rsidRPr="00E14DE7">
              <w:rPr>
                <w:rFonts w:cs="Times New Roman"/>
                <w:sz w:val="22"/>
              </w:rPr>
              <w:t>1. This Regulation comprises of 10 chapter</w:t>
            </w:r>
            <w:r w:rsidR="00AE4F39" w:rsidRPr="00E14DE7">
              <w:rPr>
                <w:rFonts w:cs="Times New Roman"/>
                <w:sz w:val="22"/>
              </w:rPr>
              <w:t>s</w:t>
            </w:r>
            <w:r w:rsidRPr="00E14DE7">
              <w:rPr>
                <w:rFonts w:cs="Times New Roman"/>
                <w:sz w:val="22"/>
              </w:rPr>
              <w:t xml:space="preserve">, 60 Articles and comes into effect since approval date. The provisions </w:t>
            </w:r>
            <w:r w:rsidRPr="00E14DE7">
              <w:rPr>
                <w:rFonts w:cs="Times New Roman"/>
                <w:sz w:val="22"/>
                <w:u w:val="single"/>
              </w:rPr>
              <w:t>of the internal regulations promulgated by the Board of Management</w:t>
            </w:r>
            <w:r w:rsidRPr="00E14DE7">
              <w:rPr>
                <w:rFonts w:cs="Times New Roman"/>
                <w:sz w:val="22"/>
              </w:rPr>
              <w:t xml:space="preserve"> contrary to this Regulation annulled.</w:t>
            </w:r>
          </w:p>
          <w:p w14:paraId="5F0A5E9B" w14:textId="677CDDB7" w:rsidR="003445AD" w:rsidRPr="00E14DE7" w:rsidRDefault="003445AD" w:rsidP="00C944E6">
            <w:pPr>
              <w:jc w:val="both"/>
              <w:rPr>
                <w:rFonts w:cs="Times New Roman"/>
                <w:bCs/>
                <w:color w:val="000000"/>
                <w:sz w:val="22"/>
              </w:rPr>
            </w:pPr>
            <w:r w:rsidRPr="00E14DE7">
              <w:rPr>
                <w:rFonts w:cs="Times New Roman"/>
                <w:sz w:val="22"/>
              </w:rPr>
              <w:lastRenderedPageBreak/>
              <w:t xml:space="preserve">                                                   </w:t>
            </w:r>
          </w:p>
        </w:tc>
        <w:tc>
          <w:tcPr>
            <w:tcW w:w="1033" w:type="pct"/>
          </w:tcPr>
          <w:p w14:paraId="4D368EF6" w14:textId="5CA5C71C" w:rsidR="003445AD" w:rsidRPr="00E14DE7" w:rsidRDefault="003445AD" w:rsidP="00C301A3">
            <w:pPr>
              <w:jc w:val="both"/>
              <w:rPr>
                <w:rFonts w:cs="Times New Roman"/>
                <w:noProof/>
                <w:sz w:val="22"/>
              </w:rPr>
            </w:pPr>
            <w:r w:rsidRPr="00E14DE7">
              <w:rPr>
                <w:rFonts w:cs="Times New Roman"/>
                <w:sz w:val="22"/>
              </w:rPr>
              <w:lastRenderedPageBreak/>
              <w:t>Supplement to clarify the relationship between the documents promulgated by the Board of Management.</w:t>
            </w:r>
          </w:p>
          <w:p w14:paraId="77E52868" w14:textId="77777777" w:rsidR="003445AD" w:rsidRPr="00E14DE7" w:rsidRDefault="003445AD" w:rsidP="00C301A3">
            <w:pPr>
              <w:jc w:val="both"/>
              <w:rPr>
                <w:rFonts w:cs="Times New Roman"/>
                <w:noProof/>
                <w:sz w:val="22"/>
              </w:rPr>
            </w:pPr>
          </w:p>
          <w:p w14:paraId="2BDC43F7" w14:textId="77777777" w:rsidR="003445AD" w:rsidRPr="00E14DE7" w:rsidRDefault="003445AD" w:rsidP="00C301A3">
            <w:pPr>
              <w:widowControl w:val="0"/>
              <w:adjustRightInd w:val="0"/>
              <w:snapToGrid w:val="0"/>
              <w:spacing w:before="60" w:after="60"/>
              <w:jc w:val="both"/>
              <w:rPr>
                <w:rFonts w:cs="Times New Roman"/>
                <w:color w:val="000000" w:themeColor="text1"/>
                <w:sz w:val="22"/>
              </w:rPr>
            </w:pPr>
          </w:p>
        </w:tc>
      </w:tr>
    </w:tbl>
    <w:p w14:paraId="29EF6079" w14:textId="77777777" w:rsidR="002E038D" w:rsidRPr="00E14DE7" w:rsidRDefault="002E038D" w:rsidP="00C301A3">
      <w:pPr>
        <w:rPr>
          <w:rFonts w:cs="Times New Roman"/>
          <w:b/>
          <w:color w:val="8D0E3B"/>
          <w:sz w:val="22"/>
        </w:rPr>
      </w:pPr>
    </w:p>
    <w:p w14:paraId="14E388F7" w14:textId="7AB54F66" w:rsidR="00FD46C7" w:rsidRPr="00E14DE7" w:rsidRDefault="00FD46C7" w:rsidP="00C301A3">
      <w:pPr>
        <w:rPr>
          <w:rFonts w:cs="Times New Roman"/>
          <w:b/>
          <w:color w:val="8D0E3B"/>
          <w:sz w:val="22"/>
        </w:rPr>
      </w:pPr>
    </w:p>
    <w:sectPr w:rsidR="00FD46C7" w:rsidRPr="00E14DE7" w:rsidSect="006718B6">
      <w:pgSz w:w="15840" w:h="12240" w:orient="landscape"/>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5D5DF" w14:textId="77777777" w:rsidR="007D065A" w:rsidRDefault="007D065A" w:rsidP="00D765FD">
      <w:pPr>
        <w:spacing w:after="0" w:line="240" w:lineRule="auto"/>
      </w:pPr>
      <w:r>
        <w:separator/>
      </w:r>
    </w:p>
  </w:endnote>
  <w:endnote w:type="continuationSeparator" w:id="0">
    <w:p w14:paraId="72E23D50" w14:textId="77777777" w:rsidR="007D065A" w:rsidRDefault="007D065A" w:rsidP="00D765FD">
      <w:pPr>
        <w:spacing w:after="0" w:line="240" w:lineRule="auto"/>
      </w:pPr>
      <w:r>
        <w:continuationSeparator/>
      </w:r>
    </w:p>
  </w:endnote>
  <w:endnote w:type="continuationNotice" w:id="1">
    <w:p w14:paraId="651EFEFD" w14:textId="77777777" w:rsidR="007D065A" w:rsidRDefault="007D0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VO">
    <w:altName w:val="Calibri"/>
    <w:charset w:val="00"/>
    <w:family w:val="auto"/>
    <w:pitch w:val="variable"/>
    <w:sig w:usb0="A000000F"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E0CAE" w14:textId="77777777" w:rsidR="007D065A" w:rsidRDefault="007D065A" w:rsidP="00D765FD">
      <w:pPr>
        <w:spacing w:after="0" w:line="240" w:lineRule="auto"/>
      </w:pPr>
      <w:r>
        <w:separator/>
      </w:r>
    </w:p>
  </w:footnote>
  <w:footnote w:type="continuationSeparator" w:id="0">
    <w:p w14:paraId="208DFCB9" w14:textId="77777777" w:rsidR="007D065A" w:rsidRDefault="007D065A" w:rsidP="00D765FD">
      <w:pPr>
        <w:spacing w:after="0" w:line="240" w:lineRule="auto"/>
      </w:pPr>
      <w:r>
        <w:continuationSeparator/>
      </w:r>
    </w:p>
  </w:footnote>
  <w:footnote w:type="continuationNotice" w:id="1">
    <w:p w14:paraId="620B84B9" w14:textId="77777777" w:rsidR="007D065A" w:rsidRDefault="007D065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50BD2B9"/>
    <w:multiLevelType w:val="hybridMultilevel"/>
    <w:tmpl w:val="FFFFFFFF"/>
    <w:lvl w:ilvl="0" w:tplc="03E6D06E">
      <w:start w:val="1"/>
      <w:numFmt w:val="decimal"/>
      <w:lvlText w:val="%1."/>
      <w:lvlJc w:val="left"/>
      <w:pPr>
        <w:ind w:left="1080" w:hanging="360"/>
      </w:pPr>
    </w:lvl>
    <w:lvl w:ilvl="1" w:tplc="A7223DAC">
      <w:start w:val="1"/>
      <w:numFmt w:val="lowerLetter"/>
      <w:lvlText w:val="%2."/>
      <w:lvlJc w:val="left"/>
      <w:pPr>
        <w:ind w:left="1800" w:hanging="360"/>
      </w:pPr>
    </w:lvl>
    <w:lvl w:ilvl="2" w:tplc="5C9081FA">
      <w:start w:val="1"/>
      <w:numFmt w:val="lowerRoman"/>
      <w:lvlText w:val="%3."/>
      <w:lvlJc w:val="right"/>
      <w:pPr>
        <w:ind w:left="2520" w:hanging="180"/>
      </w:pPr>
    </w:lvl>
    <w:lvl w:ilvl="3" w:tplc="C04E0B26">
      <w:start w:val="1"/>
      <w:numFmt w:val="decimal"/>
      <w:lvlText w:val="%4."/>
      <w:lvlJc w:val="left"/>
      <w:pPr>
        <w:ind w:left="3240" w:hanging="360"/>
      </w:pPr>
    </w:lvl>
    <w:lvl w:ilvl="4" w:tplc="EC307EB4">
      <w:start w:val="1"/>
      <w:numFmt w:val="lowerLetter"/>
      <w:lvlText w:val="%5."/>
      <w:lvlJc w:val="left"/>
      <w:pPr>
        <w:ind w:left="3960" w:hanging="360"/>
      </w:pPr>
    </w:lvl>
    <w:lvl w:ilvl="5" w:tplc="3BA0D0CA">
      <w:start w:val="1"/>
      <w:numFmt w:val="lowerRoman"/>
      <w:lvlText w:val="%6."/>
      <w:lvlJc w:val="right"/>
      <w:pPr>
        <w:ind w:left="4680" w:hanging="180"/>
      </w:pPr>
    </w:lvl>
    <w:lvl w:ilvl="6" w:tplc="57467A26">
      <w:start w:val="1"/>
      <w:numFmt w:val="decimal"/>
      <w:lvlText w:val="%7."/>
      <w:lvlJc w:val="left"/>
      <w:pPr>
        <w:ind w:left="5400" w:hanging="360"/>
      </w:pPr>
    </w:lvl>
    <w:lvl w:ilvl="7" w:tplc="99E0C3D0">
      <w:start w:val="1"/>
      <w:numFmt w:val="lowerLetter"/>
      <w:lvlText w:val="%8."/>
      <w:lvlJc w:val="left"/>
      <w:pPr>
        <w:ind w:left="6120" w:hanging="360"/>
      </w:pPr>
    </w:lvl>
    <w:lvl w:ilvl="8" w:tplc="A4F60C16">
      <w:start w:val="1"/>
      <w:numFmt w:val="lowerRoman"/>
      <w:lvlText w:val="%9."/>
      <w:lvlJc w:val="right"/>
      <w:pPr>
        <w:ind w:left="6840" w:hanging="180"/>
      </w:pPr>
    </w:lvl>
  </w:abstractNum>
  <w:abstractNum w:abstractNumId="10">
    <w:nsid w:val="09D84ED4"/>
    <w:multiLevelType w:val="hybridMultilevel"/>
    <w:tmpl w:val="55E0C532"/>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EF52C0"/>
    <w:multiLevelType w:val="hybridMultilevel"/>
    <w:tmpl w:val="C4F44174"/>
    <w:lvl w:ilvl="0" w:tplc="1B609E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8EE0EED"/>
    <w:multiLevelType w:val="hybridMultilevel"/>
    <w:tmpl w:val="88DCDDF4"/>
    <w:lvl w:ilvl="0" w:tplc="AE36E4D6">
      <w:start w:val="2"/>
      <w:numFmt w:val="bullet"/>
      <w:lvlText w:val=""/>
      <w:lvlJc w:val="left"/>
      <w:pPr>
        <w:ind w:left="720" w:hanging="360"/>
      </w:pPr>
      <w:rPr>
        <w:rFonts w:ascii="Wingdings" w:eastAsia="Times New Roman" w:hAnsi="Wingdings" w:cs="Times New Roman" w:hint="default"/>
        <w:color w:val="EE000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7D4086"/>
    <w:multiLevelType w:val="hybridMultilevel"/>
    <w:tmpl w:val="4CFE08C2"/>
    <w:lvl w:ilvl="0" w:tplc="FFFFFFFF">
      <w:start w:val="1"/>
      <w:numFmt w:val="decimal"/>
      <w:lvlText w:val="%1."/>
      <w:lvlJc w:val="left"/>
      <w:pPr>
        <w:ind w:left="360" w:hanging="360"/>
      </w:p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4">
    <w:nsid w:val="1F2B7EDB"/>
    <w:multiLevelType w:val="hybridMultilevel"/>
    <w:tmpl w:val="F3080B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19D4B3D"/>
    <w:multiLevelType w:val="hybridMultilevel"/>
    <w:tmpl w:val="4CFE08C2"/>
    <w:lvl w:ilvl="0" w:tplc="0409000F">
      <w:start w:val="1"/>
      <w:numFmt w:val="decimal"/>
      <w:lvlText w:val="%1."/>
      <w:lvlJc w:val="left"/>
      <w:pPr>
        <w:ind w:left="360" w:hanging="360"/>
      </w:pPr>
    </w:lvl>
    <w:lvl w:ilvl="1" w:tplc="04090019" w:tentative="1">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nsid w:val="28341E24"/>
    <w:multiLevelType w:val="hybridMultilevel"/>
    <w:tmpl w:val="4CFE08C2"/>
    <w:lvl w:ilvl="0" w:tplc="FFFFFFFF">
      <w:start w:val="1"/>
      <w:numFmt w:val="decimal"/>
      <w:lvlText w:val="%1."/>
      <w:lvlJc w:val="left"/>
      <w:pPr>
        <w:ind w:left="360" w:hanging="360"/>
      </w:p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7">
    <w:nsid w:val="36C02B96"/>
    <w:multiLevelType w:val="hybridMultilevel"/>
    <w:tmpl w:val="CB96E190"/>
    <w:lvl w:ilvl="0" w:tplc="F6A6F432">
      <w:start w:val="1"/>
      <w:numFmt w:val="bullet"/>
      <w:lvlText w:val=""/>
      <w:lvlJc w:val="left"/>
      <w:pPr>
        <w:ind w:left="1080" w:hanging="360"/>
      </w:pPr>
      <w:rPr>
        <w:rFonts w:ascii="Symbol" w:hAnsi="Symbol"/>
      </w:rPr>
    </w:lvl>
    <w:lvl w:ilvl="1" w:tplc="CCA676A6">
      <w:start w:val="1"/>
      <w:numFmt w:val="bullet"/>
      <w:lvlText w:val=""/>
      <w:lvlJc w:val="left"/>
      <w:pPr>
        <w:ind w:left="1080" w:hanging="360"/>
      </w:pPr>
      <w:rPr>
        <w:rFonts w:ascii="Symbol" w:hAnsi="Symbol"/>
      </w:rPr>
    </w:lvl>
    <w:lvl w:ilvl="2" w:tplc="61C89880">
      <w:start w:val="1"/>
      <w:numFmt w:val="bullet"/>
      <w:lvlText w:val=""/>
      <w:lvlJc w:val="left"/>
      <w:pPr>
        <w:ind w:left="1080" w:hanging="360"/>
      </w:pPr>
      <w:rPr>
        <w:rFonts w:ascii="Symbol" w:hAnsi="Symbol"/>
      </w:rPr>
    </w:lvl>
    <w:lvl w:ilvl="3" w:tplc="0018E9A0">
      <w:start w:val="1"/>
      <w:numFmt w:val="bullet"/>
      <w:lvlText w:val=""/>
      <w:lvlJc w:val="left"/>
      <w:pPr>
        <w:ind w:left="1080" w:hanging="360"/>
      </w:pPr>
      <w:rPr>
        <w:rFonts w:ascii="Symbol" w:hAnsi="Symbol"/>
      </w:rPr>
    </w:lvl>
    <w:lvl w:ilvl="4" w:tplc="61F454D8">
      <w:start w:val="1"/>
      <w:numFmt w:val="bullet"/>
      <w:lvlText w:val=""/>
      <w:lvlJc w:val="left"/>
      <w:pPr>
        <w:ind w:left="1080" w:hanging="360"/>
      </w:pPr>
      <w:rPr>
        <w:rFonts w:ascii="Symbol" w:hAnsi="Symbol"/>
      </w:rPr>
    </w:lvl>
    <w:lvl w:ilvl="5" w:tplc="47A4F44E">
      <w:start w:val="1"/>
      <w:numFmt w:val="bullet"/>
      <w:lvlText w:val=""/>
      <w:lvlJc w:val="left"/>
      <w:pPr>
        <w:ind w:left="1080" w:hanging="360"/>
      </w:pPr>
      <w:rPr>
        <w:rFonts w:ascii="Symbol" w:hAnsi="Symbol"/>
      </w:rPr>
    </w:lvl>
    <w:lvl w:ilvl="6" w:tplc="E7A2CE42">
      <w:start w:val="1"/>
      <w:numFmt w:val="bullet"/>
      <w:lvlText w:val=""/>
      <w:lvlJc w:val="left"/>
      <w:pPr>
        <w:ind w:left="1080" w:hanging="360"/>
      </w:pPr>
      <w:rPr>
        <w:rFonts w:ascii="Symbol" w:hAnsi="Symbol"/>
      </w:rPr>
    </w:lvl>
    <w:lvl w:ilvl="7" w:tplc="6622868C">
      <w:start w:val="1"/>
      <w:numFmt w:val="bullet"/>
      <w:lvlText w:val=""/>
      <w:lvlJc w:val="left"/>
      <w:pPr>
        <w:ind w:left="1080" w:hanging="360"/>
      </w:pPr>
      <w:rPr>
        <w:rFonts w:ascii="Symbol" w:hAnsi="Symbol"/>
      </w:rPr>
    </w:lvl>
    <w:lvl w:ilvl="8" w:tplc="373C5C1A">
      <w:start w:val="1"/>
      <w:numFmt w:val="bullet"/>
      <w:lvlText w:val=""/>
      <w:lvlJc w:val="left"/>
      <w:pPr>
        <w:ind w:left="1080" w:hanging="360"/>
      </w:pPr>
      <w:rPr>
        <w:rFonts w:ascii="Symbol" w:hAnsi="Symbol"/>
      </w:rPr>
    </w:lvl>
  </w:abstractNum>
  <w:abstractNum w:abstractNumId="18">
    <w:nsid w:val="38375DD9"/>
    <w:multiLevelType w:val="hybridMultilevel"/>
    <w:tmpl w:val="16BA245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5521FB4"/>
    <w:multiLevelType w:val="hybridMultilevel"/>
    <w:tmpl w:val="FD16C062"/>
    <w:lvl w:ilvl="0" w:tplc="BF14179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AF5404"/>
    <w:multiLevelType w:val="hybridMultilevel"/>
    <w:tmpl w:val="5B60C36A"/>
    <w:lvl w:ilvl="0" w:tplc="BF141798">
      <w:start w:val="1"/>
      <w:numFmt w:val="decimal"/>
      <w:lvlText w:val="%1."/>
      <w:lvlJc w:val="left"/>
      <w:pPr>
        <w:ind w:left="360" w:hanging="360"/>
      </w:pPr>
      <w:rPr>
        <w:rFonts w:hint="default"/>
        <w:b/>
      </w:rPr>
    </w:lvl>
    <w:lvl w:ilvl="1" w:tplc="3B8E496C">
      <w:start w:val="1"/>
      <w:numFmt w:val="bullet"/>
      <w:lvlText w:val="-"/>
      <w:lvlJc w:val="left"/>
      <w:pPr>
        <w:ind w:left="1080" w:hanging="360"/>
      </w:pPr>
      <w:rPr>
        <w:rFonts w:ascii="OptimaVO" w:eastAsia="Times New Roman" w:hAnsi="OptimaVO"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0976E5E"/>
    <w:multiLevelType w:val="hybridMultilevel"/>
    <w:tmpl w:val="4CFE08C2"/>
    <w:lvl w:ilvl="0" w:tplc="FFFFFFFF">
      <w:start w:val="1"/>
      <w:numFmt w:val="decimal"/>
      <w:lvlText w:val="%1."/>
      <w:lvlJc w:val="left"/>
      <w:pPr>
        <w:ind w:left="360" w:hanging="360"/>
      </w:p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22">
    <w:nsid w:val="52124726"/>
    <w:multiLevelType w:val="hybridMultilevel"/>
    <w:tmpl w:val="3AE25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BF61B6"/>
    <w:multiLevelType w:val="hybridMultilevel"/>
    <w:tmpl w:val="4CFE08C2"/>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A1A5F23"/>
    <w:multiLevelType w:val="hybridMultilevel"/>
    <w:tmpl w:val="1FA20DF0"/>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4AE9CE"/>
    <w:multiLevelType w:val="hybridMultilevel"/>
    <w:tmpl w:val="FFFFFFFF"/>
    <w:lvl w:ilvl="0" w:tplc="301ADAE6">
      <w:start w:val="1"/>
      <w:numFmt w:val="decimal"/>
      <w:lvlText w:val="%1."/>
      <w:lvlJc w:val="left"/>
      <w:pPr>
        <w:ind w:left="1080" w:hanging="360"/>
      </w:pPr>
    </w:lvl>
    <w:lvl w:ilvl="1" w:tplc="3DC4FC8A">
      <w:start w:val="1"/>
      <w:numFmt w:val="lowerLetter"/>
      <w:lvlText w:val="%2."/>
      <w:lvlJc w:val="left"/>
      <w:pPr>
        <w:ind w:left="1800" w:hanging="360"/>
      </w:pPr>
    </w:lvl>
    <w:lvl w:ilvl="2" w:tplc="F6582920">
      <w:start w:val="1"/>
      <w:numFmt w:val="lowerRoman"/>
      <w:lvlText w:val="%3."/>
      <w:lvlJc w:val="right"/>
      <w:pPr>
        <w:ind w:left="2520" w:hanging="180"/>
      </w:pPr>
    </w:lvl>
    <w:lvl w:ilvl="3" w:tplc="0F5A484E">
      <w:start w:val="1"/>
      <w:numFmt w:val="decimal"/>
      <w:lvlText w:val="%4."/>
      <w:lvlJc w:val="left"/>
      <w:pPr>
        <w:ind w:left="3240" w:hanging="360"/>
      </w:pPr>
    </w:lvl>
    <w:lvl w:ilvl="4" w:tplc="41245504">
      <w:start w:val="1"/>
      <w:numFmt w:val="lowerLetter"/>
      <w:lvlText w:val="%5."/>
      <w:lvlJc w:val="left"/>
      <w:pPr>
        <w:ind w:left="3960" w:hanging="360"/>
      </w:pPr>
    </w:lvl>
    <w:lvl w:ilvl="5" w:tplc="FD9CFAF2">
      <w:start w:val="1"/>
      <w:numFmt w:val="lowerRoman"/>
      <w:lvlText w:val="%6."/>
      <w:lvlJc w:val="right"/>
      <w:pPr>
        <w:ind w:left="4680" w:hanging="180"/>
      </w:pPr>
    </w:lvl>
    <w:lvl w:ilvl="6" w:tplc="D9F2C25A">
      <w:start w:val="1"/>
      <w:numFmt w:val="decimal"/>
      <w:lvlText w:val="%7."/>
      <w:lvlJc w:val="left"/>
      <w:pPr>
        <w:ind w:left="5400" w:hanging="360"/>
      </w:pPr>
    </w:lvl>
    <w:lvl w:ilvl="7" w:tplc="6EE6DDBE">
      <w:start w:val="1"/>
      <w:numFmt w:val="lowerLetter"/>
      <w:lvlText w:val="%8."/>
      <w:lvlJc w:val="left"/>
      <w:pPr>
        <w:ind w:left="6120" w:hanging="360"/>
      </w:pPr>
    </w:lvl>
    <w:lvl w:ilvl="8" w:tplc="77740126">
      <w:start w:val="1"/>
      <w:numFmt w:val="lowerRoman"/>
      <w:lvlText w:val="%9."/>
      <w:lvlJc w:val="right"/>
      <w:pPr>
        <w:ind w:left="6840" w:hanging="180"/>
      </w:pPr>
    </w:lvl>
  </w:abstractNum>
  <w:abstractNum w:abstractNumId="26">
    <w:nsid w:val="5ADC021E"/>
    <w:multiLevelType w:val="hybridMultilevel"/>
    <w:tmpl w:val="9B84C06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61246698"/>
    <w:multiLevelType w:val="hybridMultilevel"/>
    <w:tmpl w:val="2B12A418"/>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nsid w:val="6BACE962"/>
    <w:multiLevelType w:val="hybridMultilevel"/>
    <w:tmpl w:val="FFFFFFFF"/>
    <w:lvl w:ilvl="0" w:tplc="3DFE9776">
      <w:start w:val="1"/>
      <w:numFmt w:val="decimal"/>
      <w:lvlText w:val="%1."/>
      <w:lvlJc w:val="left"/>
      <w:pPr>
        <w:ind w:left="1080" w:hanging="360"/>
      </w:pPr>
    </w:lvl>
    <w:lvl w:ilvl="1" w:tplc="015EC100">
      <w:start w:val="1"/>
      <w:numFmt w:val="lowerLetter"/>
      <w:lvlText w:val="%2."/>
      <w:lvlJc w:val="left"/>
      <w:pPr>
        <w:ind w:left="1800" w:hanging="360"/>
      </w:pPr>
    </w:lvl>
    <w:lvl w:ilvl="2" w:tplc="D16CD83A">
      <w:start w:val="1"/>
      <w:numFmt w:val="lowerRoman"/>
      <w:lvlText w:val="%3."/>
      <w:lvlJc w:val="right"/>
      <w:pPr>
        <w:ind w:left="2520" w:hanging="180"/>
      </w:pPr>
    </w:lvl>
    <w:lvl w:ilvl="3" w:tplc="DDEE8BA6">
      <w:start w:val="1"/>
      <w:numFmt w:val="decimal"/>
      <w:lvlText w:val="%4."/>
      <w:lvlJc w:val="left"/>
      <w:pPr>
        <w:ind w:left="3240" w:hanging="360"/>
      </w:pPr>
    </w:lvl>
    <w:lvl w:ilvl="4" w:tplc="D91CADF4">
      <w:start w:val="1"/>
      <w:numFmt w:val="lowerLetter"/>
      <w:lvlText w:val="%5."/>
      <w:lvlJc w:val="left"/>
      <w:pPr>
        <w:ind w:left="3960" w:hanging="360"/>
      </w:pPr>
    </w:lvl>
    <w:lvl w:ilvl="5" w:tplc="07826C20">
      <w:start w:val="1"/>
      <w:numFmt w:val="lowerRoman"/>
      <w:lvlText w:val="%6."/>
      <w:lvlJc w:val="right"/>
      <w:pPr>
        <w:ind w:left="4680" w:hanging="180"/>
      </w:pPr>
    </w:lvl>
    <w:lvl w:ilvl="6" w:tplc="A6A8E9BE">
      <w:start w:val="1"/>
      <w:numFmt w:val="decimal"/>
      <w:lvlText w:val="%7."/>
      <w:lvlJc w:val="left"/>
      <w:pPr>
        <w:ind w:left="5400" w:hanging="360"/>
      </w:pPr>
    </w:lvl>
    <w:lvl w:ilvl="7" w:tplc="DA16FA12">
      <w:start w:val="1"/>
      <w:numFmt w:val="lowerLetter"/>
      <w:lvlText w:val="%8."/>
      <w:lvlJc w:val="left"/>
      <w:pPr>
        <w:ind w:left="6120" w:hanging="360"/>
      </w:pPr>
    </w:lvl>
    <w:lvl w:ilvl="8" w:tplc="25D4B5E6">
      <w:start w:val="1"/>
      <w:numFmt w:val="lowerRoman"/>
      <w:lvlText w:val="%9."/>
      <w:lvlJc w:val="right"/>
      <w:pPr>
        <w:ind w:left="6840" w:hanging="180"/>
      </w:pPr>
    </w:lvl>
  </w:abstractNum>
  <w:abstractNum w:abstractNumId="29">
    <w:nsid w:val="78C27C33"/>
    <w:multiLevelType w:val="hybridMultilevel"/>
    <w:tmpl w:val="E786A12E"/>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nsid w:val="7A4E5A39"/>
    <w:multiLevelType w:val="hybridMultilevel"/>
    <w:tmpl w:val="E57C523E"/>
    <w:lvl w:ilvl="0" w:tplc="A02C5550">
      <w:start w:val="1"/>
      <w:numFmt w:val="upperRoman"/>
      <w:pStyle w:val="Heading1"/>
      <w:lvlText w:val="%1."/>
      <w:lvlJc w:val="left"/>
      <w:pPr>
        <w:ind w:left="360" w:hanging="360"/>
      </w:pPr>
      <w:rPr>
        <w:rFonts w:hint="default"/>
        <w:b/>
        <w:bCs/>
        <w:color w:val="8D0E3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B8B51ED"/>
    <w:multiLevelType w:val="hybridMultilevel"/>
    <w:tmpl w:val="51CA2B5E"/>
    <w:lvl w:ilvl="0" w:tplc="08B0B418">
      <w:start w:val="1"/>
      <w:numFmt w:val="upperRoman"/>
      <w:pStyle w:val="Heading2"/>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5"/>
  </w:num>
  <w:num w:numId="11">
    <w:abstractNumId w:val="12"/>
  </w:num>
  <w:num w:numId="12">
    <w:abstractNumId w:val="13"/>
  </w:num>
  <w:num w:numId="13">
    <w:abstractNumId w:val="30"/>
  </w:num>
  <w:num w:numId="14">
    <w:abstractNumId w:val="24"/>
  </w:num>
  <w:num w:numId="15">
    <w:abstractNumId w:val="20"/>
  </w:num>
  <w:num w:numId="16">
    <w:abstractNumId w:val="11"/>
  </w:num>
  <w:num w:numId="17">
    <w:abstractNumId w:val="19"/>
  </w:num>
  <w:num w:numId="18">
    <w:abstractNumId w:val="31"/>
  </w:num>
  <w:num w:numId="19">
    <w:abstractNumId w:val="26"/>
  </w:num>
  <w:num w:numId="20">
    <w:abstractNumId w:val="27"/>
  </w:num>
  <w:num w:numId="21">
    <w:abstractNumId w:val="18"/>
  </w:num>
  <w:num w:numId="22">
    <w:abstractNumId w:val="29"/>
  </w:num>
  <w:num w:numId="23">
    <w:abstractNumId w:val="22"/>
  </w:num>
  <w:num w:numId="24">
    <w:abstractNumId w:val="30"/>
    <w:lvlOverride w:ilvl="0">
      <w:startOverride w:val="1"/>
    </w:lvlOverride>
  </w:num>
  <w:num w:numId="25">
    <w:abstractNumId w:val="21"/>
  </w:num>
  <w:num w:numId="26">
    <w:abstractNumId w:val="16"/>
  </w:num>
  <w:num w:numId="27">
    <w:abstractNumId w:val="30"/>
  </w:num>
  <w:num w:numId="28">
    <w:abstractNumId w:val="30"/>
  </w:num>
  <w:num w:numId="29">
    <w:abstractNumId w:val="30"/>
  </w:num>
  <w:num w:numId="30">
    <w:abstractNumId w:val="30"/>
  </w:num>
  <w:num w:numId="31">
    <w:abstractNumId w:val="23"/>
  </w:num>
  <w:num w:numId="32">
    <w:abstractNumId w:val="25"/>
  </w:num>
  <w:num w:numId="33">
    <w:abstractNumId w:val="9"/>
  </w:num>
  <w:num w:numId="34">
    <w:abstractNumId w:val="28"/>
  </w:num>
  <w:num w:numId="35">
    <w:abstractNumId w:val="30"/>
    <w:lvlOverride w:ilvl="0">
      <w:startOverride w:val="1"/>
    </w:lvlOverride>
  </w:num>
  <w:num w:numId="36">
    <w:abstractNumId w:val="10"/>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08F6"/>
    <w:rsid w:val="0000117E"/>
    <w:rsid w:val="00001709"/>
    <w:rsid w:val="00001A5C"/>
    <w:rsid w:val="00001AD3"/>
    <w:rsid w:val="00002553"/>
    <w:rsid w:val="000038B0"/>
    <w:rsid w:val="000039B9"/>
    <w:rsid w:val="0000472D"/>
    <w:rsid w:val="00005AD8"/>
    <w:rsid w:val="00006F5F"/>
    <w:rsid w:val="00006F88"/>
    <w:rsid w:val="000073C5"/>
    <w:rsid w:val="00007688"/>
    <w:rsid w:val="00007B7B"/>
    <w:rsid w:val="00007CDA"/>
    <w:rsid w:val="00007CF9"/>
    <w:rsid w:val="0001092A"/>
    <w:rsid w:val="00010A34"/>
    <w:rsid w:val="00011B94"/>
    <w:rsid w:val="0001274D"/>
    <w:rsid w:val="00012DF8"/>
    <w:rsid w:val="00012EE8"/>
    <w:rsid w:val="0001346D"/>
    <w:rsid w:val="00013A15"/>
    <w:rsid w:val="00014D77"/>
    <w:rsid w:val="0001503F"/>
    <w:rsid w:val="000152D3"/>
    <w:rsid w:val="00015720"/>
    <w:rsid w:val="00015744"/>
    <w:rsid w:val="00016226"/>
    <w:rsid w:val="0001680B"/>
    <w:rsid w:val="00017AA5"/>
    <w:rsid w:val="00020EC8"/>
    <w:rsid w:val="00021CC5"/>
    <w:rsid w:val="00021DB6"/>
    <w:rsid w:val="00021EDB"/>
    <w:rsid w:val="00022029"/>
    <w:rsid w:val="00022449"/>
    <w:rsid w:val="0002251B"/>
    <w:rsid w:val="000225DE"/>
    <w:rsid w:val="0002295D"/>
    <w:rsid w:val="00022E84"/>
    <w:rsid w:val="00022F8F"/>
    <w:rsid w:val="00024522"/>
    <w:rsid w:val="000264EE"/>
    <w:rsid w:val="0002671D"/>
    <w:rsid w:val="0002699E"/>
    <w:rsid w:val="00026A6D"/>
    <w:rsid w:val="00026AE7"/>
    <w:rsid w:val="00027CA6"/>
    <w:rsid w:val="00027F3F"/>
    <w:rsid w:val="00031ABF"/>
    <w:rsid w:val="00033223"/>
    <w:rsid w:val="00033441"/>
    <w:rsid w:val="0003346A"/>
    <w:rsid w:val="0003357B"/>
    <w:rsid w:val="000337CC"/>
    <w:rsid w:val="000337EE"/>
    <w:rsid w:val="00033E7A"/>
    <w:rsid w:val="000340E7"/>
    <w:rsid w:val="00034616"/>
    <w:rsid w:val="0003542E"/>
    <w:rsid w:val="00035836"/>
    <w:rsid w:val="00035AA8"/>
    <w:rsid w:val="00035D75"/>
    <w:rsid w:val="00035DA8"/>
    <w:rsid w:val="00035DEF"/>
    <w:rsid w:val="00036DE5"/>
    <w:rsid w:val="00036E70"/>
    <w:rsid w:val="00037050"/>
    <w:rsid w:val="00037657"/>
    <w:rsid w:val="0003770C"/>
    <w:rsid w:val="00037A53"/>
    <w:rsid w:val="00037F24"/>
    <w:rsid w:val="000414D4"/>
    <w:rsid w:val="000423A1"/>
    <w:rsid w:val="0004272D"/>
    <w:rsid w:val="00042AB0"/>
    <w:rsid w:val="00042EC4"/>
    <w:rsid w:val="000436F6"/>
    <w:rsid w:val="000439E1"/>
    <w:rsid w:val="00043FE8"/>
    <w:rsid w:val="000448CC"/>
    <w:rsid w:val="00044B42"/>
    <w:rsid w:val="000452D5"/>
    <w:rsid w:val="000471F6"/>
    <w:rsid w:val="00047B31"/>
    <w:rsid w:val="00047E36"/>
    <w:rsid w:val="000501B2"/>
    <w:rsid w:val="000501D7"/>
    <w:rsid w:val="000503B6"/>
    <w:rsid w:val="00051145"/>
    <w:rsid w:val="00051731"/>
    <w:rsid w:val="00051889"/>
    <w:rsid w:val="00052177"/>
    <w:rsid w:val="00052602"/>
    <w:rsid w:val="00052C3C"/>
    <w:rsid w:val="00052E8A"/>
    <w:rsid w:val="00052F2B"/>
    <w:rsid w:val="00053200"/>
    <w:rsid w:val="00053430"/>
    <w:rsid w:val="00053716"/>
    <w:rsid w:val="000539D9"/>
    <w:rsid w:val="00055B21"/>
    <w:rsid w:val="00055E2E"/>
    <w:rsid w:val="00055F30"/>
    <w:rsid w:val="00056746"/>
    <w:rsid w:val="00056855"/>
    <w:rsid w:val="0005701F"/>
    <w:rsid w:val="0006063C"/>
    <w:rsid w:val="00060D79"/>
    <w:rsid w:val="00060DF5"/>
    <w:rsid w:val="00061BBF"/>
    <w:rsid w:val="00061CAC"/>
    <w:rsid w:val="00061D0B"/>
    <w:rsid w:val="0006375C"/>
    <w:rsid w:val="00064B2E"/>
    <w:rsid w:val="000665FE"/>
    <w:rsid w:val="00066683"/>
    <w:rsid w:val="00066B18"/>
    <w:rsid w:val="00066C59"/>
    <w:rsid w:val="00066EBD"/>
    <w:rsid w:val="00067334"/>
    <w:rsid w:val="00067A00"/>
    <w:rsid w:val="000704F7"/>
    <w:rsid w:val="00070F16"/>
    <w:rsid w:val="00071FC9"/>
    <w:rsid w:val="00072634"/>
    <w:rsid w:val="00072CDF"/>
    <w:rsid w:val="00072D45"/>
    <w:rsid w:val="000738F6"/>
    <w:rsid w:val="000751F4"/>
    <w:rsid w:val="00075636"/>
    <w:rsid w:val="00075E06"/>
    <w:rsid w:val="0008005B"/>
    <w:rsid w:val="00080395"/>
    <w:rsid w:val="0008091F"/>
    <w:rsid w:val="00080BFF"/>
    <w:rsid w:val="00080C10"/>
    <w:rsid w:val="00081A7A"/>
    <w:rsid w:val="000821C5"/>
    <w:rsid w:val="0008418D"/>
    <w:rsid w:val="00084286"/>
    <w:rsid w:val="00085021"/>
    <w:rsid w:val="00085A47"/>
    <w:rsid w:val="0008732B"/>
    <w:rsid w:val="00087CCC"/>
    <w:rsid w:val="000904FF"/>
    <w:rsid w:val="00090863"/>
    <w:rsid w:val="00091CD2"/>
    <w:rsid w:val="00092D50"/>
    <w:rsid w:val="0009393A"/>
    <w:rsid w:val="00093A22"/>
    <w:rsid w:val="00094545"/>
    <w:rsid w:val="0009498D"/>
    <w:rsid w:val="00094CD4"/>
    <w:rsid w:val="00094DF1"/>
    <w:rsid w:val="00096156"/>
    <w:rsid w:val="0009691F"/>
    <w:rsid w:val="00097046"/>
    <w:rsid w:val="00097058"/>
    <w:rsid w:val="000971ED"/>
    <w:rsid w:val="000976E0"/>
    <w:rsid w:val="000A03D9"/>
    <w:rsid w:val="000A0792"/>
    <w:rsid w:val="000A07FF"/>
    <w:rsid w:val="000A1798"/>
    <w:rsid w:val="000A22F0"/>
    <w:rsid w:val="000A2B13"/>
    <w:rsid w:val="000A3C95"/>
    <w:rsid w:val="000A410E"/>
    <w:rsid w:val="000A4D55"/>
    <w:rsid w:val="000A52A4"/>
    <w:rsid w:val="000A555A"/>
    <w:rsid w:val="000A59B7"/>
    <w:rsid w:val="000A5BA4"/>
    <w:rsid w:val="000A5F0D"/>
    <w:rsid w:val="000A6466"/>
    <w:rsid w:val="000A6861"/>
    <w:rsid w:val="000A759F"/>
    <w:rsid w:val="000A7803"/>
    <w:rsid w:val="000B0270"/>
    <w:rsid w:val="000B07F4"/>
    <w:rsid w:val="000B1618"/>
    <w:rsid w:val="000B1A03"/>
    <w:rsid w:val="000B2090"/>
    <w:rsid w:val="000B2F85"/>
    <w:rsid w:val="000B3383"/>
    <w:rsid w:val="000B3597"/>
    <w:rsid w:val="000B37BB"/>
    <w:rsid w:val="000B3A35"/>
    <w:rsid w:val="000B41E7"/>
    <w:rsid w:val="000B4C50"/>
    <w:rsid w:val="000B5FC5"/>
    <w:rsid w:val="000B628A"/>
    <w:rsid w:val="000B6DE4"/>
    <w:rsid w:val="000B7262"/>
    <w:rsid w:val="000C00D7"/>
    <w:rsid w:val="000C0199"/>
    <w:rsid w:val="000C2186"/>
    <w:rsid w:val="000C3E7F"/>
    <w:rsid w:val="000C430D"/>
    <w:rsid w:val="000C4410"/>
    <w:rsid w:val="000C48A0"/>
    <w:rsid w:val="000C4B54"/>
    <w:rsid w:val="000C4C8C"/>
    <w:rsid w:val="000C5631"/>
    <w:rsid w:val="000C62A0"/>
    <w:rsid w:val="000C65CB"/>
    <w:rsid w:val="000C6657"/>
    <w:rsid w:val="000C72C4"/>
    <w:rsid w:val="000C7707"/>
    <w:rsid w:val="000D0065"/>
    <w:rsid w:val="000D02DF"/>
    <w:rsid w:val="000D0477"/>
    <w:rsid w:val="000D0AE4"/>
    <w:rsid w:val="000D0B2F"/>
    <w:rsid w:val="000D0F21"/>
    <w:rsid w:val="000D190B"/>
    <w:rsid w:val="000D1C66"/>
    <w:rsid w:val="000D24EA"/>
    <w:rsid w:val="000D2C07"/>
    <w:rsid w:val="000D2DFA"/>
    <w:rsid w:val="000D3858"/>
    <w:rsid w:val="000D3E2F"/>
    <w:rsid w:val="000D4872"/>
    <w:rsid w:val="000D515B"/>
    <w:rsid w:val="000D62E5"/>
    <w:rsid w:val="000D64F8"/>
    <w:rsid w:val="000D67AA"/>
    <w:rsid w:val="000D7001"/>
    <w:rsid w:val="000D7324"/>
    <w:rsid w:val="000D7A3D"/>
    <w:rsid w:val="000E00B3"/>
    <w:rsid w:val="000E1B06"/>
    <w:rsid w:val="000E1BC9"/>
    <w:rsid w:val="000E26B2"/>
    <w:rsid w:val="000E367D"/>
    <w:rsid w:val="000E36F2"/>
    <w:rsid w:val="000E380D"/>
    <w:rsid w:val="000E38A1"/>
    <w:rsid w:val="000E3D6F"/>
    <w:rsid w:val="000E4A7B"/>
    <w:rsid w:val="000E559E"/>
    <w:rsid w:val="000E648D"/>
    <w:rsid w:val="000E661B"/>
    <w:rsid w:val="000E68BD"/>
    <w:rsid w:val="000E6FB1"/>
    <w:rsid w:val="000F019D"/>
    <w:rsid w:val="000F0BF7"/>
    <w:rsid w:val="000F0FD4"/>
    <w:rsid w:val="000F13E7"/>
    <w:rsid w:val="000F14B9"/>
    <w:rsid w:val="000F315E"/>
    <w:rsid w:val="000F3DD4"/>
    <w:rsid w:val="000F44FF"/>
    <w:rsid w:val="000F45F7"/>
    <w:rsid w:val="000F5234"/>
    <w:rsid w:val="000F5651"/>
    <w:rsid w:val="000F645D"/>
    <w:rsid w:val="000F6F98"/>
    <w:rsid w:val="000F73F2"/>
    <w:rsid w:val="000F761C"/>
    <w:rsid w:val="000F7683"/>
    <w:rsid w:val="000F7A7C"/>
    <w:rsid w:val="00100325"/>
    <w:rsid w:val="00101348"/>
    <w:rsid w:val="00102309"/>
    <w:rsid w:val="00102669"/>
    <w:rsid w:val="00103A64"/>
    <w:rsid w:val="001048CA"/>
    <w:rsid w:val="001049A8"/>
    <w:rsid w:val="00105214"/>
    <w:rsid w:val="00105797"/>
    <w:rsid w:val="001062F3"/>
    <w:rsid w:val="00110D71"/>
    <w:rsid w:val="001117C8"/>
    <w:rsid w:val="001118F9"/>
    <w:rsid w:val="00112037"/>
    <w:rsid w:val="00112071"/>
    <w:rsid w:val="00112602"/>
    <w:rsid w:val="00112731"/>
    <w:rsid w:val="00112A2B"/>
    <w:rsid w:val="00113340"/>
    <w:rsid w:val="0011334E"/>
    <w:rsid w:val="00113B6A"/>
    <w:rsid w:val="00113EFE"/>
    <w:rsid w:val="001149B5"/>
    <w:rsid w:val="00114C29"/>
    <w:rsid w:val="00120F65"/>
    <w:rsid w:val="001220C4"/>
    <w:rsid w:val="0012213E"/>
    <w:rsid w:val="00123A15"/>
    <w:rsid w:val="00124388"/>
    <w:rsid w:val="001245AE"/>
    <w:rsid w:val="00124E01"/>
    <w:rsid w:val="00125728"/>
    <w:rsid w:val="001265AF"/>
    <w:rsid w:val="00126F71"/>
    <w:rsid w:val="0012708E"/>
    <w:rsid w:val="0013031E"/>
    <w:rsid w:val="001306A3"/>
    <w:rsid w:val="00130B06"/>
    <w:rsid w:val="00133869"/>
    <w:rsid w:val="00133E20"/>
    <w:rsid w:val="00134493"/>
    <w:rsid w:val="00134930"/>
    <w:rsid w:val="00134FB6"/>
    <w:rsid w:val="00137756"/>
    <w:rsid w:val="00137DE0"/>
    <w:rsid w:val="00140070"/>
    <w:rsid w:val="00141405"/>
    <w:rsid w:val="00141558"/>
    <w:rsid w:val="00141D5A"/>
    <w:rsid w:val="0014297B"/>
    <w:rsid w:val="00142EBE"/>
    <w:rsid w:val="00142FC5"/>
    <w:rsid w:val="00143C8A"/>
    <w:rsid w:val="0014529D"/>
    <w:rsid w:val="00145399"/>
    <w:rsid w:val="00145AF7"/>
    <w:rsid w:val="00146E36"/>
    <w:rsid w:val="00147818"/>
    <w:rsid w:val="0014793F"/>
    <w:rsid w:val="00147F4D"/>
    <w:rsid w:val="0015068C"/>
    <w:rsid w:val="0015074B"/>
    <w:rsid w:val="0015077A"/>
    <w:rsid w:val="0015078A"/>
    <w:rsid w:val="001519CB"/>
    <w:rsid w:val="00151F40"/>
    <w:rsid w:val="00151F4F"/>
    <w:rsid w:val="00152142"/>
    <w:rsid w:val="001521A6"/>
    <w:rsid w:val="00152463"/>
    <w:rsid w:val="00152F27"/>
    <w:rsid w:val="0015346E"/>
    <w:rsid w:val="00153497"/>
    <w:rsid w:val="001537A1"/>
    <w:rsid w:val="00153BD8"/>
    <w:rsid w:val="001545C2"/>
    <w:rsid w:val="00154C9A"/>
    <w:rsid w:val="001560C4"/>
    <w:rsid w:val="00156A8A"/>
    <w:rsid w:val="00156BEA"/>
    <w:rsid w:val="001575DF"/>
    <w:rsid w:val="00160EA0"/>
    <w:rsid w:val="001616B9"/>
    <w:rsid w:val="00161B8D"/>
    <w:rsid w:val="00162ADE"/>
    <w:rsid w:val="001631AF"/>
    <w:rsid w:val="00163315"/>
    <w:rsid w:val="00163923"/>
    <w:rsid w:val="00163B2B"/>
    <w:rsid w:val="00163D3F"/>
    <w:rsid w:val="00163E8C"/>
    <w:rsid w:val="00164469"/>
    <w:rsid w:val="0016492F"/>
    <w:rsid w:val="00165D43"/>
    <w:rsid w:val="00166976"/>
    <w:rsid w:val="00166AED"/>
    <w:rsid w:val="00167882"/>
    <w:rsid w:val="00170AA0"/>
    <w:rsid w:val="00170B77"/>
    <w:rsid w:val="00170D00"/>
    <w:rsid w:val="00170FB8"/>
    <w:rsid w:val="001714AD"/>
    <w:rsid w:val="00171A88"/>
    <w:rsid w:val="001720E8"/>
    <w:rsid w:val="00172C13"/>
    <w:rsid w:val="00174353"/>
    <w:rsid w:val="00175020"/>
    <w:rsid w:val="00175450"/>
    <w:rsid w:val="00176CB4"/>
    <w:rsid w:val="00177ECF"/>
    <w:rsid w:val="001802C7"/>
    <w:rsid w:val="00180710"/>
    <w:rsid w:val="00181C75"/>
    <w:rsid w:val="001820E2"/>
    <w:rsid w:val="0018249F"/>
    <w:rsid w:val="00183564"/>
    <w:rsid w:val="001837B8"/>
    <w:rsid w:val="00183E86"/>
    <w:rsid w:val="00184095"/>
    <w:rsid w:val="00184DC2"/>
    <w:rsid w:val="00184EE9"/>
    <w:rsid w:val="00185064"/>
    <w:rsid w:val="001862BA"/>
    <w:rsid w:val="0018686F"/>
    <w:rsid w:val="001870FF"/>
    <w:rsid w:val="00187C2F"/>
    <w:rsid w:val="00190519"/>
    <w:rsid w:val="0019125D"/>
    <w:rsid w:val="00191649"/>
    <w:rsid w:val="00191BE0"/>
    <w:rsid w:val="001920D9"/>
    <w:rsid w:val="001926B2"/>
    <w:rsid w:val="001937EB"/>
    <w:rsid w:val="00194234"/>
    <w:rsid w:val="00194F72"/>
    <w:rsid w:val="001952ED"/>
    <w:rsid w:val="00195418"/>
    <w:rsid w:val="00195BB0"/>
    <w:rsid w:val="00196FDD"/>
    <w:rsid w:val="001970E2"/>
    <w:rsid w:val="001973BB"/>
    <w:rsid w:val="0019779B"/>
    <w:rsid w:val="00197BAB"/>
    <w:rsid w:val="00197CC0"/>
    <w:rsid w:val="001A0957"/>
    <w:rsid w:val="001A13D0"/>
    <w:rsid w:val="001A1590"/>
    <w:rsid w:val="001A1E7F"/>
    <w:rsid w:val="001A20E3"/>
    <w:rsid w:val="001A2839"/>
    <w:rsid w:val="001A2B5D"/>
    <w:rsid w:val="001A2BD1"/>
    <w:rsid w:val="001A3A07"/>
    <w:rsid w:val="001A3C41"/>
    <w:rsid w:val="001A3CD3"/>
    <w:rsid w:val="001A3E3E"/>
    <w:rsid w:val="001A3FCA"/>
    <w:rsid w:val="001A4061"/>
    <w:rsid w:val="001A43CB"/>
    <w:rsid w:val="001A46D8"/>
    <w:rsid w:val="001A48E3"/>
    <w:rsid w:val="001A4A1F"/>
    <w:rsid w:val="001A4EBC"/>
    <w:rsid w:val="001A540E"/>
    <w:rsid w:val="001A54D7"/>
    <w:rsid w:val="001A5D62"/>
    <w:rsid w:val="001A64DF"/>
    <w:rsid w:val="001A72F7"/>
    <w:rsid w:val="001B00A8"/>
    <w:rsid w:val="001B0700"/>
    <w:rsid w:val="001B0A5F"/>
    <w:rsid w:val="001B0BBA"/>
    <w:rsid w:val="001B0CAF"/>
    <w:rsid w:val="001B149A"/>
    <w:rsid w:val="001B14F2"/>
    <w:rsid w:val="001B2026"/>
    <w:rsid w:val="001B23A6"/>
    <w:rsid w:val="001B28E9"/>
    <w:rsid w:val="001B2C13"/>
    <w:rsid w:val="001B3A96"/>
    <w:rsid w:val="001B4411"/>
    <w:rsid w:val="001B50AB"/>
    <w:rsid w:val="001B5256"/>
    <w:rsid w:val="001B5292"/>
    <w:rsid w:val="001B59C0"/>
    <w:rsid w:val="001B5FD0"/>
    <w:rsid w:val="001B662D"/>
    <w:rsid w:val="001B68FE"/>
    <w:rsid w:val="001B6E1B"/>
    <w:rsid w:val="001B75C8"/>
    <w:rsid w:val="001B797A"/>
    <w:rsid w:val="001C0311"/>
    <w:rsid w:val="001C1542"/>
    <w:rsid w:val="001C1554"/>
    <w:rsid w:val="001C159B"/>
    <w:rsid w:val="001C1FD1"/>
    <w:rsid w:val="001C2B7F"/>
    <w:rsid w:val="001C2C41"/>
    <w:rsid w:val="001C3A26"/>
    <w:rsid w:val="001C3BB4"/>
    <w:rsid w:val="001C3DA0"/>
    <w:rsid w:val="001C41AC"/>
    <w:rsid w:val="001C472A"/>
    <w:rsid w:val="001C4B99"/>
    <w:rsid w:val="001C5BE4"/>
    <w:rsid w:val="001C5CBA"/>
    <w:rsid w:val="001C613E"/>
    <w:rsid w:val="001C651B"/>
    <w:rsid w:val="001C65A1"/>
    <w:rsid w:val="001C68B3"/>
    <w:rsid w:val="001C6928"/>
    <w:rsid w:val="001C7808"/>
    <w:rsid w:val="001D07AE"/>
    <w:rsid w:val="001D08D5"/>
    <w:rsid w:val="001D0B0F"/>
    <w:rsid w:val="001D1CE9"/>
    <w:rsid w:val="001D1D91"/>
    <w:rsid w:val="001D2449"/>
    <w:rsid w:val="001D25AD"/>
    <w:rsid w:val="001D2BE9"/>
    <w:rsid w:val="001D437F"/>
    <w:rsid w:val="001D4597"/>
    <w:rsid w:val="001D4771"/>
    <w:rsid w:val="001D4960"/>
    <w:rsid w:val="001D54DD"/>
    <w:rsid w:val="001D55B3"/>
    <w:rsid w:val="001D5A31"/>
    <w:rsid w:val="001D6A9E"/>
    <w:rsid w:val="001D714C"/>
    <w:rsid w:val="001D7683"/>
    <w:rsid w:val="001E18D2"/>
    <w:rsid w:val="001E1ABB"/>
    <w:rsid w:val="001E2EF3"/>
    <w:rsid w:val="001E36F0"/>
    <w:rsid w:val="001E39AD"/>
    <w:rsid w:val="001E3EBD"/>
    <w:rsid w:val="001E4FF8"/>
    <w:rsid w:val="001E5E05"/>
    <w:rsid w:val="001E5E92"/>
    <w:rsid w:val="001E6C9B"/>
    <w:rsid w:val="001F00F3"/>
    <w:rsid w:val="001F0D0E"/>
    <w:rsid w:val="001F1357"/>
    <w:rsid w:val="001F1CA4"/>
    <w:rsid w:val="001F40E5"/>
    <w:rsid w:val="001F4111"/>
    <w:rsid w:val="001F4D67"/>
    <w:rsid w:val="001F5CCC"/>
    <w:rsid w:val="001F5F5F"/>
    <w:rsid w:val="001F6562"/>
    <w:rsid w:val="001F67E6"/>
    <w:rsid w:val="001F6A05"/>
    <w:rsid w:val="001F6FCF"/>
    <w:rsid w:val="001F72DE"/>
    <w:rsid w:val="001F7AF2"/>
    <w:rsid w:val="00200B98"/>
    <w:rsid w:val="00200DF0"/>
    <w:rsid w:val="00201953"/>
    <w:rsid w:val="002019FA"/>
    <w:rsid w:val="00201C0A"/>
    <w:rsid w:val="00202728"/>
    <w:rsid w:val="00202B99"/>
    <w:rsid w:val="00202C38"/>
    <w:rsid w:val="00202C5D"/>
    <w:rsid w:val="00203717"/>
    <w:rsid w:val="0020389F"/>
    <w:rsid w:val="00203C73"/>
    <w:rsid w:val="00204E06"/>
    <w:rsid w:val="00204E0F"/>
    <w:rsid w:val="002050CC"/>
    <w:rsid w:val="0020512F"/>
    <w:rsid w:val="002059F3"/>
    <w:rsid w:val="00205D30"/>
    <w:rsid w:val="00205F33"/>
    <w:rsid w:val="00206226"/>
    <w:rsid w:val="00206979"/>
    <w:rsid w:val="00206E26"/>
    <w:rsid w:val="00207A60"/>
    <w:rsid w:val="0021021C"/>
    <w:rsid w:val="002106A6"/>
    <w:rsid w:val="00211CB5"/>
    <w:rsid w:val="00211FB4"/>
    <w:rsid w:val="00212261"/>
    <w:rsid w:val="00212348"/>
    <w:rsid w:val="002128B9"/>
    <w:rsid w:val="00213070"/>
    <w:rsid w:val="00213BCD"/>
    <w:rsid w:val="00214221"/>
    <w:rsid w:val="00214604"/>
    <w:rsid w:val="002148E8"/>
    <w:rsid w:val="00214FF1"/>
    <w:rsid w:val="002156AF"/>
    <w:rsid w:val="00216333"/>
    <w:rsid w:val="00216A69"/>
    <w:rsid w:val="002170AA"/>
    <w:rsid w:val="00220335"/>
    <w:rsid w:val="002206C4"/>
    <w:rsid w:val="002229C6"/>
    <w:rsid w:val="00222AE3"/>
    <w:rsid w:val="00223519"/>
    <w:rsid w:val="002243A9"/>
    <w:rsid w:val="00224A30"/>
    <w:rsid w:val="00224C8F"/>
    <w:rsid w:val="002257A6"/>
    <w:rsid w:val="0022671D"/>
    <w:rsid w:val="0022755D"/>
    <w:rsid w:val="002277B1"/>
    <w:rsid w:val="00227CBF"/>
    <w:rsid w:val="00227E22"/>
    <w:rsid w:val="00232170"/>
    <w:rsid w:val="0023252B"/>
    <w:rsid w:val="00232B58"/>
    <w:rsid w:val="00232BFE"/>
    <w:rsid w:val="00232C1A"/>
    <w:rsid w:val="00232C1D"/>
    <w:rsid w:val="0023388A"/>
    <w:rsid w:val="00233B0E"/>
    <w:rsid w:val="0023405C"/>
    <w:rsid w:val="0023465F"/>
    <w:rsid w:val="0023467A"/>
    <w:rsid w:val="00234860"/>
    <w:rsid w:val="002350E6"/>
    <w:rsid w:val="00235148"/>
    <w:rsid w:val="0023574A"/>
    <w:rsid w:val="00235B08"/>
    <w:rsid w:val="002369FC"/>
    <w:rsid w:val="00237478"/>
    <w:rsid w:val="002374E9"/>
    <w:rsid w:val="0024064E"/>
    <w:rsid w:val="00241081"/>
    <w:rsid w:val="00241092"/>
    <w:rsid w:val="00241485"/>
    <w:rsid w:val="002418AA"/>
    <w:rsid w:val="00241AC2"/>
    <w:rsid w:val="00241EBC"/>
    <w:rsid w:val="00242F52"/>
    <w:rsid w:val="00242F77"/>
    <w:rsid w:val="002433C6"/>
    <w:rsid w:val="0024388A"/>
    <w:rsid w:val="00243A81"/>
    <w:rsid w:val="0024421C"/>
    <w:rsid w:val="002452BB"/>
    <w:rsid w:val="00246453"/>
    <w:rsid w:val="002467C4"/>
    <w:rsid w:val="00247982"/>
    <w:rsid w:val="00247CE6"/>
    <w:rsid w:val="002500C6"/>
    <w:rsid w:val="002505DE"/>
    <w:rsid w:val="00251E18"/>
    <w:rsid w:val="0025229C"/>
    <w:rsid w:val="0025299E"/>
    <w:rsid w:val="00252A61"/>
    <w:rsid w:val="00252F5C"/>
    <w:rsid w:val="0025304C"/>
    <w:rsid w:val="0025310C"/>
    <w:rsid w:val="00253575"/>
    <w:rsid w:val="0025407E"/>
    <w:rsid w:val="0025444E"/>
    <w:rsid w:val="00254683"/>
    <w:rsid w:val="002559E3"/>
    <w:rsid w:val="00256D69"/>
    <w:rsid w:val="00256DA9"/>
    <w:rsid w:val="00257080"/>
    <w:rsid w:val="00257111"/>
    <w:rsid w:val="00257F32"/>
    <w:rsid w:val="00260789"/>
    <w:rsid w:val="002607E8"/>
    <w:rsid w:val="00260DFC"/>
    <w:rsid w:val="002616C2"/>
    <w:rsid w:val="00261C38"/>
    <w:rsid w:val="002624A6"/>
    <w:rsid w:val="00263548"/>
    <w:rsid w:val="00263ECA"/>
    <w:rsid w:val="00264C9B"/>
    <w:rsid w:val="0026524E"/>
    <w:rsid w:val="0026549A"/>
    <w:rsid w:val="002654D4"/>
    <w:rsid w:val="00265586"/>
    <w:rsid w:val="00265EBE"/>
    <w:rsid w:val="00265FCE"/>
    <w:rsid w:val="002662F7"/>
    <w:rsid w:val="00266AC6"/>
    <w:rsid w:val="002670C1"/>
    <w:rsid w:val="002678D7"/>
    <w:rsid w:val="002701BB"/>
    <w:rsid w:val="002708DD"/>
    <w:rsid w:val="00272002"/>
    <w:rsid w:val="002723CC"/>
    <w:rsid w:val="0027354A"/>
    <w:rsid w:val="002736DA"/>
    <w:rsid w:val="002739BC"/>
    <w:rsid w:val="00273C03"/>
    <w:rsid w:val="00273C62"/>
    <w:rsid w:val="0027425C"/>
    <w:rsid w:val="00274919"/>
    <w:rsid w:val="00274C61"/>
    <w:rsid w:val="00275995"/>
    <w:rsid w:val="00275F25"/>
    <w:rsid w:val="002764D2"/>
    <w:rsid w:val="002765C9"/>
    <w:rsid w:val="00276CFB"/>
    <w:rsid w:val="00276F09"/>
    <w:rsid w:val="00277A27"/>
    <w:rsid w:val="00277E3A"/>
    <w:rsid w:val="00281A0E"/>
    <w:rsid w:val="00281C8B"/>
    <w:rsid w:val="00281CEC"/>
    <w:rsid w:val="00282612"/>
    <w:rsid w:val="002829D5"/>
    <w:rsid w:val="002835D9"/>
    <w:rsid w:val="002840FB"/>
    <w:rsid w:val="00285731"/>
    <w:rsid w:val="0028610D"/>
    <w:rsid w:val="002863CE"/>
    <w:rsid w:val="00286A7D"/>
    <w:rsid w:val="00287DE7"/>
    <w:rsid w:val="00290454"/>
    <w:rsid w:val="00290E60"/>
    <w:rsid w:val="002913DA"/>
    <w:rsid w:val="002918C7"/>
    <w:rsid w:val="0029226C"/>
    <w:rsid w:val="002928A8"/>
    <w:rsid w:val="00292AB8"/>
    <w:rsid w:val="002940F1"/>
    <w:rsid w:val="002941A2"/>
    <w:rsid w:val="00294986"/>
    <w:rsid w:val="00294F40"/>
    <w:rsid w:val="00294FF0"/>
    <w:rsid w:val="002950AA"/>
    <w:rsid w:val="00295A78"/>
    <w:rsid w:val="00295D1E"/>
    <w:rsid w:val="00295F73"/>
    <w:rsid w:val="0029639D"/>
    <w:rsid w:val="00296C0F"/>
    <w:rsid w:val="00296FF7"/>
    <w:rsid w:val="002971F2"/>
    <w:rsid w:val="0029769F"/>
    <w:rsid w:val="00297E62"/>
    <w:rsid w:val="002A1AB3"/>
    <w:rsid w:val="002A1B8F"/>
    <w:rsid w:val="002A1DCC"/>
    <w:rsid w:val="002A2B4E"/>
    <w:rsid w:val="002A3726"/>
    <w:rsid w:val="002A4883"/>
    <w:rsid w:val="002A4C49"/>
    <w:rsid w:val="002A4EC6"/>
    <w:rsid w:val="002A564C"/>
    <w:rsid w:val="002A5946"/>
    <w:rsid w:val="002B01C0"/>
    <w:rsid w:val="002B1075"/>
    <w:rsid w:val="002B137B"/>
    <w:rsid w:val="002B2635"/>
    <w:rsid w:val="002B2FED"/>
    <w:rsid w:val="002B3592"/>
    <w:rsid w:val="002B3628"/>
    <w:rsid w:val="002B38CE"/>
    <w:rsid w:val="002B3CC0"/>
    <w:rsid w:val="002B4290"/>
    <w:rsid w:val="002B4431"/>
    <w:rsid w:val="002B446E"/>
    <w:rsid w:val="002B456E"/>
    <w:rsid w:val="002B4823"/>
    <w:rsid w:val="002B4B24"/>
    <w:rsid w:val="002B5131"/>
    <w:rsid w:val="002B53C5"/>
    <w:rsid w:val="002B5486"/>
    <w:rsid w:val="002B587B"/>
    <w:rsid w:val="002B5E22"/>
    <w:rsid w:val="002B5FE3"/>
    <w:rsid w:val="002B68B9"/>
    <w:rsid w:val="002B6993"/>
    <w:rsid w:val="002B6A4B"/>
    <w:rsid w:val="002C09C2"/>
    <w:rsid w:val="002C0B1D"/>
    <w:rsid w:val="002C0EF8"/>
    <w:rsid w:val="002C1264"/>
    <w:rsid w:val="002C1FCD"/>
    <w:rsid w:val="002C213F"/>
    <w:rsid w:val="002C3A00"/>
    <w:rsid w:val="002C3CFB"/>
    <w:rsid w:val="002C4170"/>
    <w:rsid w:val="002C41B3"/>
    <w:rsid w:val="002C4AE8"/>
    <w:rsid w:val="002C4D7B"/>
    <w:rsid w:val="002C4E84"/>
    <w:rsid w:val="002C4F03"/>
    <w:rsid w:val="002C525B"/>
    <w:rsid w:val="002C5843"/>
    <w:rsid w:val="002C598A"/>
    <w:rsid w:val="002C5FEF"/>
    <w:rsid w:val="002C60F9"/>
    <w:rsid w:val="002C6386"/>
    <w:rsid w:val="002C76ED"/>
    <w:rsid w:val="002C7C46"/>
    <w:rsid w:val="002C7C47"/>
    <w:rsid w:val="002C7D6E"/>
    <w:rsid w:val="002C7E58"/>
    <w:rsid w:val="002C7E90"/>
    <w:rsid w:val="002D0497"/>
    <w:rsid w:val="002D06F0"/>
    <w:rsid w:val="002D0D94"/>
    <w:rsid w:val="002D1E72"/>
    <w:rsid w:val="002D20D8"/>
    <w:rsid w:val="002D2AAD"/>
    <w:rsid w:val="002D2EF9"/>
    <w:rsid w:val="002D3D06"/>
    <w:rsid w:val="002D407F"/>
    <w:rsid w:val="002D5406"/>
    <w:rsid w:val="002D5499"/>
    <w:rsid w:val="002D731A"/>
    <w:rsid w:val="002D762E"/>
    <w:rsid w:val="002D76A0"/>
    <w:rsid w:val="002D7B0B"/>
    <w:rsid w:val="002E038D"/>
    <w:rsid w:val="002E1042"/>
    <w:rsid w:val="002E296D"/>
    <w:rsid w:val="002E2DBA"/>
    <w:rsid w:val="002E58FB"/>
    <w:rsid w:val="002E5BB9"/>
    <w:rsid w:val="002E6858"/>
    <w:rsid w:val="002E706F"/>
    <w:rsid w:val="002E75D1"/>
    <w:rsid w:val="002E78A3"/>
    <w:rsid w:val="002F1FE7"/>
    <w:rsid w:val="002F229E"/>
    <w:rsid w:val="002F236E"/>
    <w:rsid w:val="002F23BD"/>
    <w:rsid w:val="002F3125"/>
    <w:rsid w:val="002F38CF"/>
    <w:rsid w:val="002F44DF"/>
    <w:rsid w:val="002F46A6"/>
    <w:rsid w:val="002F476F"/>
    <w:rsid w:val="002F4BA5"/>
    <w:rsid w:val="002F52E4"/>
    <w:rsid w:val="002F5490"/>
    <w:rsid w:val="002F5B8A"/>
    <w:rsid w:val="002F638E"/>
    <w:rsid w:val="002F6924"/>
    <w:rsid w:val="002F78D4"/>
    <w:rsid w:val="00300000"/>
    <w:rsid w:val="0030090E"/>
    <w:rsid w:val="00300B54"/>
    <w:rsid w:val="00300D32"/>
    <w:rsid w:val="00300D84"/>
    <w:rsid w:val="00300EC0"/>
    <w:rsid w:val="0030107E"/>
    <w:rsid w:val="003017FF"/>
    <w:rsid w:val="003021F9"/>
    <w:rsid w:val="00302253"/>
    <w:rsid w:val="00302571"/>
    <w:rsid w:val="00302751"/>
    <w:rsid w:val="00302FF3"/>
    <w:rsid w:val="003036D2"/>
    <w:rsid w:val="003041BA"/>
    <w:rsid w:val="0030538C"/>
    <w:rsid w:val="0030623E"/>
    <w:rsid w:val="00310336"/>
    <w:rsid w:val="00311220"/>
    <w:rsid w:val="00311296"/>
    <w:rsid w:val="0031151B"/>
    <w:rsid w:val="003117C2"/>
    <w:rsid w:val="003117DD"/>
    <w:rsid w:val="0031237F"/>
    <w:rsid w:val="00313431"/>
    <w:rsid w:val="003136C8"/>
    <w:rsid w:val="0031405F"/>
    <w:rsid w:val="003146C3"/>
    <w:rsid w:val="00314766"/>
    <w:rsid w:val="0031539A"/>
    <w:rsid w:val="00315543"/>
    <w:rsid w:val="00316A3F"/>
    <w:rsid w:val="003176FD"/>
    <w:rsid w:val="00317B65"/>
    <w:rsid w:val="00317B80"/>
    <w:rsid w:val="00317BE6"/>
    <w:rsid w:val="00317FFB"/>
    <w:rsid w:val="00321C66"/>
    <w:rsid w:val="00321FE5"/>
    <w:rsid w:val="003220BA"/>
    <w:rsid w:val="0032231A"/>
    <w:rsid w:val="00322671"/>
    <w:rsid w:val="00322850"/>
    <w:rsid w:val="00322E58"/>
    <w:rsid w:val="00324B51"/>
    <w:rsid w:val="00325F4E"/>
    <w:rsid w:val="00326B8F"/>
    <w:rsid w:val="00326F90"/>
    <w:rsid w:val="003276CB"/>
    <w:rsid w:val="00327CC7"/>
    <w:rsid w:val="00327DE5"/>
    <w:rsid w:val="0033134A"/>
    <w:rsid w:val="00331620"/>
    <w:rsid w:val="00331AB9"/>
    <w:rsid w:val="00332BFC"/>
    <w:rsid w:val="003333ED"/>
    <w:rsid w:val="00333B0E"/>
    <w:rsid w:val="003351FA"/>
    <w:rsid w:val="00335785"/>
    <w:rsid w:val="0033626A"/>
    <w:rsid w:val="003404B6"/>
    <w:rsid w:val="003408E6"/>
    <w:rsid w:val="00340953"/>
    <w:rsid w:val="00340AD9"/>
    <w:rsid w:val="00341CB8"/>
    <w:rsid w:val="00342037"/>
    <w:rsid w:val="0034217D"/>
    <w:rsid w:val="003425F9"/>
    <w:rsid w:val="00342AE1"/>
    <w:rsid w:val="00342B57"/>
    <w:rsid w:val="00342DF2"/>
    <w:rsid w:val="00342EA7"/>
    <w:rsid w:val="0034340B"/>
    <w:rsid w:val="0034374E"/>
    <w:rsid w:val="00344318"/>
    <w:rsid w:val="00344461"/>
    <w:rsid w:val="003445AD"/>
    <w:rsid w:val="00344CFF"/>
    <w:rsid w:val="003453EB"/>
    <w:rsid w:val="003454CC"/>
    <w:rsid w:val="0034615F"/>
    <w:rsid w:val="003464E9"/>
    <w:rsid w:val="00346921"/>
    <w:rsid w:val="00346B43"/>
    <w:rsid w:val="00346C60"/>
    <w:rsid w:val="00347904"/>
    <w:rsid w:val="00350035"/>
    <w:rsid w:val="003503B7"/>
    <w:rsid w:val="00350DB9"/>
    <w:rsid w:val="00350E4C"/>
    <w:rsid w:val="00351B03"/>
    <w:rsid w:val="00351BF6"/>
    <w:rsid w:val="00351EA8"/>
    <w:rsid w:val="00352DB3"/>
    <w:rsid w:val="00352EE4"/>
    <w:rsid w:val="003549BB"/>
    <w:rsid w:val="00354C10"/>
    <w:rsid w:val="00357269"/>
    <w:rsid w:val="00357780"/>
    <w:rsid w:val="00357839"/>
    <w:rsid w:val="00357AFF"/>
    <w:rsid w:val="00357CE1"/>
    <w:rsid w:val="00357CFD"/>
    <w:rsid w:val="00357FD0"/>
    <w:rsid w:val="003607EB"/>
    <w:rsid w:val="00360D7C"/>
    <w:rsid w:val="003614E0"/>
    <w:rsid w:val="00361607"/>
    <w:rsid w:val="003618FE"/>
    <w:rsid w:val="00361A43"/>
    <w:rsid w:val="00361CBD"/>
    <w:rsid w:val="00362880"/>
    <w:rsid w:val="00362C6F"/>
    <w:rsid w:val="00362D45"/>
    <w:rsid w:val="0036375B"/>
    <w:rsid w:val="003645FA"/>
    <w:rsid w:val="00366B0D"/>
    <w:rsid w:val="00367D04"/>
    <w:rsid w:val="00367D14"/>
    <w:rsid w:val="00371202"/>
    <w:rsid w:val="00371F0C"/>
    <w:rsid w:val="00372AC0"/>
    <w:rsid w:val="0037338D"/>
    <w:rsid w:val="003740C1"/>
    <w:rsid w:val="0037445A"/>
    <w:rsid w:val="00374860"/>
    <w:rsid w:val="00374A56"/>
    <w:rsid w:val="00374B6F"/>
    <w:rsid w:val="003753B0"/>
    <w:rsid w:val="003757FA"/>
    <w:rsid w:val="00375842"/>
    <w:rsid w:val="00375B64"/>
    <w:rsid w:val="00376008"/>
    <w:rsid w:val="003761DD"/>
    <w:rsid w:val="0037638C"/>
    <w:rsid w:val="00376791"/>
    <w:rsid w:val="00376805"/>
    <w:rsid w:val="00377FA8"/>
    <w:rsid w:val="003819E7"/>
    <w:rsid w:val="00381D48"/>
    <w:rsid w:val="00382494"/>
    <w:rsid w:val="00382551"/>
    <w:rsid w:val="0038373C"/>
    <w:rsid w:val="003843DB"/>
    <w:rsid w:val="003845CB"/>
    <w:rsid w:val="00384712"/>
    <w:rsid w:val="00384A88"/>
    <w:rsid w:val="00385240"/>
    <w:rsid w:val="00385D65"/>
    <w:rsid w:val="00385FAF"/>
    <w:rsid w:val="003861FA"/>
    <w:rsid w:val="00386E62"/>
    <w:rsid w:val="0038716C"/>
    <w:rsid w:val="0039017F"/>
    <w:rsid w:val="00390847"/>
    <w:rsid w:val="00390DBA"/>
    <w:rsid w:val="0039204B"/>
    <w:rsid w:val="00393B6E"/>
    <w:rsid w:val="00394D71"/>
    <w:rsid w:val="00395293"/>
    <w:rsid w:val="00395538"/>
    <w:rsid w:val="00395CA1"/>
    <w:rsid w:val="0039626C"/>
    <w:rsid w:val="003974CB"/>
    <w:rsid w:val="003A0145"/>
    <w:rsid w:val="003A0375"/>
    <w:rsid w:val="003A05EE"/>
    <w:rsid w:val="003A1678"/>
    <w:rsid w:val="003A2740"/>
    <w:rsid w:val="003A2E13"/>
    <w:rsid w:val="003A3140"/>
    <w:rsid w:val="003A3E9F"/>
    <w:rsid w:val="003A4C43"/>
    <w:rsid w:val="003A522C"/>
    <w:rsid w:val="003A533A"/>
    <w:rsid w:val="003A558B"/>
    <w:rsid w:val="003A55B7"/>
    <w:rsid w:val="003A57F4"/>
    <w:rsid w:val="003A63BD"/>
    <w:rsid w:val="003A6C4C"/>
    <w:rsid w:val="003A6F84"/>
    <w:rsid w:val="003B017E"/>
    <w:rsid w:val="003B023C"/>
    <w:rsid w:val="003B04C9"/>
    <w:rsid w:val="003B0A45"/>
    <w:rsid w:val="003B1093"/>
    <w:rsid w:val="003B1112"/>
    <w:rsid w:val="003B13A5"/>
    <w:rsid w:val="003B17B3"/>
    <w:rsid w:val="003B1D18"/>
    <w:rsid w:val="003B22C6"/>
    <w:rsid w:val="003B27E3"/>
    <w:rsid w:val="003B2C03"/>
    <w:rsid w:val="003B340D"/>
    <w:rsid w:val="003B512E"/>
    <w:rsid w:val="003B5263"/>
    <w:rsid w:val="003B5BCD"/>
    <w:rsid w:val="003B6310"/>
    <w:rsid w:val="003B67FE"/>
    <w:rsid w:val="003C0253"/>
    <w:rsid w:val="003C02E6"/>
    <w:rsid w:val="003C033C"/>
    <w:rsid w:val="003C05C0"/>
    <w:rsid w:val="003C0703"/>
    <w:rsid w:val="003C0B2A"/>
    <w:rsid w:val="003C1527"/>
    <w:rsid w:val="003C1552"/>
    <w:rsid w:val="003C1F7A"/>
    <w:rsid w:val="003C37F5"/>
    <w:rsid w:val="003C3998"/>
    <w:rsid w:val="003C3D1B"/>
    <w:rsid w:val="003C51AD"/>
    <w:rsid w:val="003C527E"/>
    <w:rsid w:val="003C5539"/>
    <w:rsid w:val="003C5761"/>
    <w:rsid w:val="003C5E5A"/>
    <w:rsid w:val="003C5E7B"/>
    <w:rsid w:val="003C62F2"/>
    <w:rsid w:val="003C6BE7"/>
    <w:rsid w:val="003C6C62"/>
    <w:rsid w:val="003C706E"/>
    <w:rsid w:val="003C7359"/>
    <w:rsid w:val="003C7547"/>
    <w:rsid w:val="003C7616"/>
    <w:rsid w:val="003C7922"/>
    <w:rsid w:val="003C7D40"/>
    <w:rsid w:val="003D261A"/>
    <w:rsid w:val="003D3074"/>
    <w:rsid w:val="003D3ADB"/>
    <w:rsid w:val="003D3D29"/>
    <w:rsid w:val="003D3F25"/>
    <w:rsid w:val="003D459C"/>
    <w:rsid w:val="003D50A3"/>
    <w:rsid w:val="003D5686"/>
    <w:rsid w:val="003D61AF"/>
    <w:rsid w:val="003D6529"/>
    <w:rsid w:val="003D6ACC"/>
    <w:rsid w:val="003D6D90"/>
    <w:rsid w:val="003E035A"/>
    <w:rsid w:val="003E080D"/>
    <w:rsid w:val="003E0AFE"/>
    <w:rsid w:val="003E18F8"/>
    <w:rsid w:val="003E1E8D"/>
    <w:rsid w:val="003E2303"/>
    <w:rsid w:val="003E269D"/>
    <w:rsid w:val="003E2AAA"/>
    <w:rsid w:val="003E2F9A"/>
    <w:rsid w:val="003E3987"/>
    <w:rsid w:val="003E6889"/>
    <w:rsid w:val="003E7FBE"/>
    <w:rsid w:val="003F0777"/>
    <w:rsid w:val="003F0820"/>
    <w:rsid w:val="003F1AF9"/>
    <w:rsid w:val="003F2708"/>
    <w:rsid w:val="003F3038"/>
    <w:rsid w:val="003F321F"/>
    <w:rsid w:val="003F3E36"/>
    <w:rsid w:val="003F3FAC"/>
    <w:rsid w:val="003F42EA"/>
    <w:rsid w:val="003F4367"/>
    <w:rsid w:val="003F4F0D"/>
    <w:rsid w:val="003F5882"/>
    <w:rsid w:val="003F5A68"/>
    <w:rsid w:val="003F60FA"/>
    <w:rsid w:val="003F654B"/>
    <w:rsid w:val="003F68F4"/>
    <w:rsid w:val="003F7E92"/>
    <w:rsid w:val="004002C6"/>
    <w:rsid w:val="004002DD"/>
    <w:rsid w:val="004003AB"/>
    <w:rsid w:val="00400C04"/>
    <w:rsid w:val="00401F1F"/>
    <w:rsid w:val="004041E4"/>
    <w:rsid w:val="0040524E"/>
    <w:rsid w:val="0040538F"/>
    <w:rsid w:val="00405C0E"/>
    <w:rsid w:val="00405CC8"/>
    <w:rsid w:val="00406617"/>
    <w:rsid w:val="00406A09"/>
    <w:rsid w:val="00406AEC"/>
    <w:rsid w:val="004078D8"/>
    <w:rsid w:val="00407CB1"/>
    <w:rsid w:val="004114D3"/>
    <w:rsid w:val="00411506"/>
    <w:rsid w:val="00411A8B"/>
    <w:rsid w:val="004121EB"/>
    <w:rsid w:val="00412278"/>
    <w:rsid w:val="00412FCC"/>
    <w:rsid w:val="00413506"/>
    <w:rsid w:val="00413D04"/>
    <w:rsid w:val="004145B0"/>
    <w:rsid w:val="00414C3E"/>
    <w:rsid w:val="0041513F"/>
    <w:rsid w:val="004154F6"/>
    <w:rsid w:val="00415781"/>
    <w:rsid w:val="004167A8"/>
    <w:rsid w:val="004169AF"/>
    <w:rsid w:val="004170EB"/>
    <w:rsid w:val="0041729D"/>
    <w:rsid w:val="00420C5F"/>
    <w:rsid w:val="004215E4"/>
    <w:rsid w:val="00421E76"/>
    <w:rsid w:val="0042510E"/>
    <w:rsid w:val="00425280"/>
    <w:rsid w:val="004256FC"/>
    <w:rsid w:val="00425D7A"/>
    <w:rsid w:val="004267FD"/>
    <w:rsid w:val="00426DD6"/>
    <w:rsid w:val="00427008"/>
    <w:rsid w:val="00430795"/>
    <w:rsid w:val="00430B0E"/>
    <w:rsid w:val="004310CB"/>
    <w:rsid w:val="00431C05"/>
    <w:rsid w:val="00432B1A"/>
    <w:rsid w:val="00433293"/>
    <w:rsid w:val="00433E66"/>
    <w:rsid w:val="00434B02"/>
    <w:rsid w:val="00434BF5"/>
    <w:rsid w:val="00435503"/>
    <w:rsid w:val="00435671"/>
    <w:rsid w:val="0043596E"/>
    <w:rsid w:val="00435B46"/>
    <w:rsid w:val="00435F6F"/>
    <w:rsid w:val="00437339"/>
    <w:rsid w:val="00437357"/>
    <w:rsid w:val="004419ED"/>
    <w:rsid w:val="00441AE5"/>
    <w:rsid w:val="00442C7D"/>
    <w:rsid w:val="00443E40"/>
    <w:rsid w:val="00444067"/>
    <w:rsid w:val="0044441F"/>
    <w:rsid w:val="004447FD"/>
    <w:rsid w:val="00445C19"/>
    <w:rsid w:val="00445E50"/>
    <w:rsid w:val="00445F16"/>
    <w:rsid w:val="00446840"/>
    <w:rsid w:val="0044755F"/>
    <w:rsid w:val="004477B8"/>
    <w:rsid w:val="00447E06"/>
    <w:rsid w:val="00451572"/>
    <w:rsid w:val="00451A67"/>
    <w:rsid w:val="00452165"/>
    <w:rsid w:val="00453888"/>
    <w:rsid w:val="00454298"/>
    <w:rsid w:val="00454899"/>
    <w:rsid w:val="004548FB"/>
    <w:rsid w:val="00455D63"/>
    <w:rsid w:val="00456059"/>
    <w:rsid w:val="00456AD1"/>
    <w:rsid w:val="00457417"/>
    <w:rsid w:val="00461188"/>
    <w:rsid w:val="00461268"/>
    <w:rsid w:val="00461A91"/>
    <w:rsid w:val="00461E93"/>
    <w:rsid w:val="00462095"/>
    <w:rsid w:val="004628C5"/>
    <w:rsid w:val="00462CB7"/>
    <w:rsid w:val="00462EAE"/>
    <w:rsid w:val="00464C1D"/>
    <w:rsid w:val="00464E51"/>
    <w:rsid w:val="004653BF"/>
    <w:rsid w:val="00465614"/>
    <w:rsid w:val="00465F05"/>
    <w:rsid w:val="00466F5E"/>
    <w:rsid w:val="00466FD9"/>
    <w:rsid w:val="004671A9"/>
    <w:rsid w:val="004676B4"/>
    <w:rsid w:val="00467AB1"/>
    <w:rsid w:val="00467F6B"/>
    <w:rsid w:val="004701A7"/>
    <w:rsid w:val="00470270"/>
    <w:rsid w:val="0047117C"/>
    <w:rsid w:val="00471D9F"/>
    <w:rsid w:val="004720A0"/>
    <w:rsid w:val="0047220E"/>
    <w:rsid w:val="00472332"/>
    <w:rsid w:val="00473912"/>
    <w:rsid w:val="00473DE7"/>
    <w:rsid w:val="00474F07"/>
    <w:rsid w:val="004759DD"/>
    <w:rsid w:val="00475F1D"/>
    <w:rsid w:val="00476213"/>
    <w:rsid w:val="0047751C"/>
    <w:rsid w:val="004779AF"/>
    <w:rsid w:val="004812F6"/>
    <w:rsid w:val="0048153A"/>
    <w:rsid w:val="004827B7"/>
    <w:rsid w:val="00483906"/>
    <w:rsid w:val="00483BF6"/>
    <w:rsid w:val="00485540"/>
    <w:rsid w:val="00485C92"/>
    <w:rsid w:val="0048609C"/>
    <w:rsid w:val="00486BDB"/>
    <w:rsid w:val="004870CE"/>
    <w:rsid w:val="0048763F"/>
    <w:rsid w:val="00487C96"/>
    <w:rsid w:val="00487DA8"/>
    <w:rsid w:val="00490374"/>
    <w:rsid w:val="004909B4"/>
    <w:rsid w:val="00491238"/>
    <w:rsid w:val="00491898"/>
    <w:rsid w:val="0049279A"/>
    <w:rsid w:val="0049327B"/>
    <w:rsid w:val="00493A65"/>
    <w:rsid w:val="0049409F"/>
    <w:rsid w:val="0049495B"/>
    <w:rsid w:val="00494B0D"/>
    <w:rsid w:val="00495FAF"/>
    <w:rsid w:val="004971BD"/>
    <w:rsid w:val="004974B3"/>
    <w:rsid w:val="0049756E"/>
    <w:rsid w:val="00497E20"/>
    <w:rsid w:val="004A0B61"/>
    <w:rsid w:val="004A17D9"/>
    <w:rsid w:val="004A1857"/>
    <w:rsid w:val="004A20C4"/>
    <w:rsid w:val="004A259A"/>
    <w:rsid w:val="004A2849"/>
    <w:rsid w:val="004A2BE2"/>
    <w:rsid w:val="004A3080"/>
    <w:rsid w:val="004A33A8"/>
    <w:rsid w:val="004A4702"/>
    <w:rsid w:val="004A49F2"/>
    <w:rsid w:val="004A4B19"/>
    <w:rsid w:val="004A5997"/>
    <w:rsid w:val="004A5F3B"/>
    <w:rsid w:val="004A6440"/>
    <w:rsid w:val="004A71B1"/>
    <w:rsid w:val="004A7340"/>
    <w:rsid w:val="004B0612"/>
    <w:rsid w:val="004B14F9"/>
    <w:rsid w:val="004B1810"/>
    <w:rsid w:val="004B1EFD"/>
    <w:rsid w:val="004B2116"/>
    <w:rsid w:val="004B4B81"/>
    <w:rsid w:val="004B54E4"/>
    <w:rsid w:val="004B681F"/>
    <w:rsid w:val="004B76BF"/>
    <w:rsid w:val="004B7903"/>
    <w:rsid w:val="004B7B2C"/>
    <w:rsid w:val="004C08EE"/>
    <w:rsid w:val="004C1822"/>
    <w:rsid w:val="004C184B"/>
    <w:rsid w:val="004C1BFE"/>
    <w:rsid w:val="004C2427"/>
    <w:rsid w:val="004C333B"/>
    <w:rsid w:val="004C37AE"/>
    <w:rsid w:val="004C6F26"/>
    <w:rsid w:val="004C740B"/>
    <w:rsid w:val="004C79F4"/>
    <w:rsid w:val="004C7D04"/>
    <w:rsid w:val="004C7DE2"/>
    <w:rsid w:val="004C7F84"/>
    <w:rsid w:val="004D0087"/>
    <w:rsid w:val="004D0986"/>
    <w:rsid w:val="004D0AAC"/>
    <w:rsid w:val="004D1052"/>
    <w:rsid w:val="004D179C"/>
    <w:rsid w:val="004D17F6"/>
    <w:rsid w:val="004D3222"/>
    <w:rsid w:val="004D4BE2"/>
    <w:rsid w:val="004D4E93"/>
    <w:rsid w:val="004D62BD"/>
    <w:rsid w:val="004D691B"/>
    <w:rsid w:val="004D6AD9"/>
    <w:rsid w:val="004D77C3"/>
    <w:rsid w:val="004D7944"/>
    <w:rsid w:val="004E0114"/>
    <w:rsid w:val="004E097D"/>
    <w:rsid w:val="004E13AE"/>
    <w:rsid w:val="004E14C4"/>
    <w:rsid w:val="004E16D4"/>
    <w:rsid w:val="004E1F1D"/>
    <w:rsid w:val="004E394F"/>
    <w:rsid w:val="004E5361"/>
    <w:rsid w:val="004E5C2B"/>
    <w:rsid w:val="004E5C8F"/>
    <w:rsid w:val="004E6A1F"/>
    <w:rsid w:val="004E7098"/>
    <w:rsid w:val="004F0124"/>
    <w:rsid w:val="004F1F95"/>
    <w:rsid w:val="004F39DD"/>
    <w:rsid w:val="004F4E95"/>
    <w:rsid w:val="004F4F9D"/>
    <w:rsid w:val="004F6856"/>
    <w:rsid w:val="004F6D1A"/>
    <w:rsid w:val="004F6FA3"/>
    <w:rsid w:val="00500094"/>
    <w:rsid w:val="00500299"/>
    <w:rsid w:val="00500534"/>
    <w:rsid w:val="005006E9"/>
    <w:rsid w:val="00500B9D"/>
    <w:rsid w:val="00500C99"/>
    <w:rsid w:val="00501C1D"/>
    <w:rsid w:val="00501C1F"/>
    <w:rsid w:val="00501E97"/>
    <w:rsid w:val="005020AB"/>
    <w:rsid w:val="00502380"/>
    <w:rsid w:val="00502DC6"/>
    <w:rsid w:val="005033BE"/>
    <w:rsid w:val="00503B71"/>
    <w:rsid w:val="00503F04"/>
    <w:rsid w:val="00504033"/>
    <w:rsid w:val="00504608"/>
    <w:rsid w:val="0050519F"/>
    <w:rsid w:val="00505F13"/>
    <w:rsid w:val="00506B83"/>
    <w:rsid w:val="00506BD6"/>
    <w:rsid w:val="00506D1C"/>
    <w:rsid w:val="00507A7D"/>
    <w:rsid w:val="005105D4"/>
    <w:rsid w:val="00510A21"/>
    <w:rsid w:val="00510B56"/>
    <w:rsid w:val="00510C0A"/>
    <w:rsid w:val="005113B0"/>
    <w:rsid w:val="00511428"/>
    <w:rsid w:val="0051299A"/>
    <w:rsid w:val="0051304A"/>
    <w:rsid w:val="0051331B"/>
    <w:rsid w:val="005133DB"/>
    <w:rsid w:val="00513986"/>
    <w:rsid w:val="00513CD1"/>
    <w:rsid w:val="005143E8"/>
    <w:rsid w:val="00515103"/>
    <w:rsid w:val="00515267"/>
    <w:rsid w:val="0051659A"/>
    <w:rsid w:val="005165E9"/>
    <w:rsid w:val="00516DB9"/>
    <w:rsid w:val="0051731B"/>
    <w:rsid w:val="00517DFD"/>
    <w:rsid w:val="00520F7D"/>
    <w:rsid w:val="00521669"/>
    <w:rsid w:val="005232D3"/>
    <w:rsid w:val="00523661"/>
    <w:rsid w:val="00523667"/>
    <w:rsid w:val="00524144"/>
    <w:rsid w:val="0052425F"/>
    <w:rsid w:val="005247E6"/>
    <w:rsid w:val="00525BC9"/>
    <w:rsid w:val="00525BCC"/>
    <w:rsid w:val="0052659B"/>
    <w:rsid w:val="0052691A"/>
    <w:rsid w:val="005275CA"/>
    <w:rsid w:val="005303DD"/>
    <w:rsid w:val="00530CA5"/>
    <w:rsid w:val="00531F65"/>
    <w:rsid w:val="00532B57"/>
    <w:rsid w:val="005342A3"/>
    <w:rsid w:val="00534E5E"/>
    <w:rsid w:val="005359C7"/>
    <w:rsid w:val="00535CA3"/>
    <w:rsid w:val="0053617B"/>
    <w:rsid w:val="00536B0B"/>
    <w:rsid w:val="00536BFC"/>
    <w:rsid w:val="00536D7C"/>
    <w:rsid w:val="00536F89"/>
    <w:rsid w:val="00537E90"/>
    <w:rsid w:val="00537F90"/>
    <w:rsid w:val="005416B7"/>
    <w:rsid w:val="005429FB"/>
    <w:rsid w:val="00543745"/>
    <w:rsid w:val="00543B8F"/>
    <w:rsid w:val="00543E9A"/>
    <w:rsid w:val="00544480"/>
    <w:rsid w:val="00544ED2"/>
    <w:rsid w:val="00545AC7"/>
    <w:rsid w:val="00545C76"/>
    <w:rsid w:val="00546255"/>
    <w:rsid w:val="0054663D"/>
    <w:rsid w:val="005473C7"/>
    <w:rsid w:val="00547FCA"/>
    <w:rsid w:val="00551153"/>
    <w:rsid w:val="005514A9"/>
    <w:rsid w:val="0055176A"/>
    <w:rsid w:val="00551FF4"/>
    <w:rsid w:val="005520E7"/>
    <w:rsid w:val="0055259D"/>
    <w:rsid w:val="00552A74"/>
    <w:rsid w:val="0055319C"/>
    <w:rsid w:val="00553970"/>
    <w:rsid w:val="00553B2C"/>
    <w:rsid w:val="00553E27"/>
    <w:rsid w:val="0055483E"/>
    <w:rsid w:val="005549F0"/>
    <w:rsid w:val="00554A21"/>
    <w:rsid w:val="00554A45"/>
    <w:rsid w:val="00554FBD"/>
    <w:rsid w:val="005552D8"/>
    <w:rsid w:val="00556110"/>
    <w:rsid w:val="0055697B"/>
    <w:rsid w:val="00556B98"/>
    <w:rsid w:val="00556C82"/>
    <w:rsid w:val="00556C9B"/>
    <w:rsid w:val="00556CD8"/>
    <w:rsid w:val="00557339"/>
    <w:rsid w:val="00557625"/>
    <w:rsid w:val="0055790D"/>
    <w:rsid w:val="005604F7"/>
    <w:rsid w:val="00560C97"/>
    <w:rsid w:val="00560CC1"/>
    <w:rsid w:val="005616F1"/>
    <w:rsid w:val="00561814"/>
    <w:rsid w:val="00561CC2"/>
    <w:rsid w:val="00562A9F"/>
    <w:rsid w:val="005634D3"/>
    <w:rsid w:val="00563521"/>
    <w:rsid w:val="00565536"/>
    <w:rsid w:val="0056578E"/>
    <w:rsid w:val="00565EBF"/>
    <w:rsid w:val="005663B2"/>
    <w:rsid w:val="00567E26"/>
    <w:rsid w:val="00571946"/>
    <w:rsid w:val="00571D40"/>
    <w:rsid w:val="00571EF5"/>
    <w:rsid w:val="0057204B"/>
    <w:rsid w:val="0057211C"/>
    <w:rsid w:val="00572926"/>
    <w:rsid w:val="00572DB3"/>
    <w:rsid w:val="00572E16"/>
    <w:rsid w:val="00573428"/>
    <w:rsid w:val="00573512"/>
    <w:rsid w:val="00573BC3"/>
    <w:rsid w:val="00574AFE"/>
    <w:rsid w:val="00574BCC"/>
    <w:rsid w:val="00575733"/>
    <w:rsid w:val="0057589D"/>
    <w:rsid w:val="00576B3D"/>
    <w:rsid w:val="00576D0E"/>
    <w:rsid w:val="005771B8"/>
    <w:rsid w:val="005773EF"/>
    <w:rsid w:val="005778C5"/>
    <w:rsid w:val="00580A91"/>
    <w:rsid w:val="00580B46"/>
    <w:rsid w:val="00581105"/>
    <w:rsid w:val="005820CA"/>
    <w:rsid w:val="005821C8"/>
    <w:rsid w:val="005829D6"/>
    <w:rsid w:val="00582A0B"/>
    <w:rsid w:val="00582C91"/>
    <w:rsid w:val="00583441"/>
    <w:rsid w:val="00583AE7"/>
    <w:rsid w:val="00583C4A"/>
    <w:rsid w:val="00583E45"/>
    <w:rsid w:val="00583EBD"/>
    <w:rsid w:val="00584551"/>
    <w:rsid w:val="00584B83"/>
    <w:rsid w:val="0058536E"/>
    <w:rsid w:val="005858AD"/>
    <w:rsid w:val="00585A13"/>
    <w:rsid w:val="00585BBF"/>
    <w:rsid w:val="00586137"/>
    <w:rsid w:val="0058624D"/>
    <w:rsid w:val="00586648"/>
    <w:rsid w:val="00586AB9"/>
    <w:rsid w:val="00586D6F"/>
    <w:rsid w:val="00587367"/>
    <w:rsid w:val="00587B5E"/>
    <w:rsid w:val="00587BFD"/>
    <w:rsid w:val="00591569"/>
    <w:rsid w:val="00591CFE"/>
    <w:rsid w:val="00591F7F"/>
    <w:rsid w:val="00592EB1"/>
    <w:rsid w:val="005933BF"/>
    <w:rsid w:val="005942EB"/>
    <w:rsid w:val="005960D8"/>
    <w:rsid w:val="00596231"/>
    <w:rsid w:val="0059642D"/>
    <w:rsid w:val="005968DF"/>
    <w:rsid w:val="00596C8E"/>
    <w:rsid w:val="00597DB1"/>
    <w:rsid w:val="005A0181"/>
    <w:rsid w:val="005A0D22"/>
    <w:rsid w:val="005A0EBE"/>
    <w:rsid w:val="005A1843"/>
    <w:rsid w:val="005A1984"/>
    <w:rsid w:val="005A1B12"/>
    <w:rsid w:val="005A21FF"/>
    <w:rsid w:val="005A2769"/>
    <w:rsid w:val="005A44CD"/>
    <w:rsid w:val="005A47DB"/>
    <w:rsid w:val="005A4A4D"/>
    <w:rsid w:val="005A5AD0"/>
    <w:rsid w:val="005A5F04"/>
    <w:rsid w:val="005A6025"/>
    <w:rsid w:val="005A6893"/>
    <w:rsid w:val="005A70DD"/>
    <w:rsid w:val="005A78B8"/>
    <w:rsid w:val="005B0445"/>
    <w:rsid w:val="005B088A"/>
    <w:rsid w:val="005B0A4B"/>
    <w:rsid w:val="005B1150"/>
    <w:rsid w:val="005B1727"/>
    <w:rsid w:val="005B19BF"/>
    <w:rsid w:val="005B1FD1"/>
    <w:rsid w:val="005B2C15"/>
    <w:rsid w:val="005B2DA4"/>
    <w:rsid w:val="005B461C"/>
    <w:rsid w:val="005B55B4"/>
    <w:rsid w:val="005B57FA"/>
    <w:rsid w:val="005B5813"/>
    <w:rsid w:val="005B605A"/>
    <w:rsid w:val="005B6A8D"/>
    <w:rsid w:val="005C0461"/>
    <w:rsid w:val="005C068B"/>
    <w:rsid w:val="005C09B1"/>
    <w:rsid w:val="005C1625"/>
    <w:rsid w:val="005C221B"/>
    <w:rsid w:val="005C2582"/>
    <w:rsid w:val="005C25A3"/>
    <w:rsid w:val="005C30F1"/>
    <w:rsid w:val="005C3171"/>
    <w:rsid w:val="005C342E"/>
    <w:rsid w:val="005C4CDA"/>
    <w:rsid w:val="005C5111"/>
    <w:rsid w:val="005C5219"/>
    <w:rsid w:val="005C572D"/>
    <w:rsid w:val="005C5FFA"/>
    <w:rsid w:val="005C61DF"/>
    <w:rsid w:val="005C6ECF"/>
    <w:rsid w:val="005C6FB3"/>
    <w:rsid w:val="005C751E"/>
    <w:rsid w:val="005C75B2"/>
    <w:rsid w:val="005D015C"/>
    <w:rsid w:val="005D0254"/>
    <w:rsid w:val="005D06D6"/>
    <w:rsid w:val="005D1568"/>
    <w:rsid w:val="005D1DBE"/>
    <w:rsid w:val="005D1E3E"/>
    <w:rsid w:val="005D1F48"/>
    <w:rsid w:val="005D23AB"/>
    <w:rsid w:val="005D244B"/>
    <w:rsid w:val="005D2A97"/>
    <w:rsid w:val="005D32E1"/>
    <w:rsid w:val="005D53FB"/>
    <w:rsid w:val="005D5752"/>
    <w:rsid w:val="005D5A70"/>
    <w:rsid w:val="005D676F"/>
    <w:rsid w:val="005D6C8A"/>
    <w:rsid w:val="005E263B"/>
    <w:rsid w:val="005E2BC3"/>
    <w:rsid w:val="005E2C31"/>
    <w:rsid w:val="005E2E65"/>
    <w:rsid w:val="005E2F2B"/>
    <w:rsid w:val="005E41A2"/>
    <w:rsid w:val="005E4A5B"/>
    <w:rsid w:val="005E65C9"/>
    <w:rsid w:val="005E680E"/>
    <w:rsid w:val="005E7A92"/>
    <w:rsid w:val="005E7C21"/>
    <w:rsid w:val="005E7F0B"/>
    <w:rsid w:val="005F18B1"/>
    <w:rsid w:val="005F311F"/>
    <w:rsid w:val="005F3CCA"/>
    <w:rsid w:val="005F501C"/>
    <w:rsid w:val="005F5595"/>
    <w:rsid w:val="005F58BB"/>
    <w:rsid w:val="005F5C57"/>
    <w:rsid w:val="005F5E99"/>
    <w:rsid w:val="005F5F22"/>
    <w:rsid w:val="005F69E2"/>
    <w:rsid w:val="005F6D5B"/>
    <w:rsid w:val="005F779A"/>
    <w:rsid w:val="0060033F"/>
    <w:rsid w:val="00601118"/>
    <w:rsid w:val="006011CF"/>
    <w:rsid w:val="0060183D"/>
    <w:rsid w:val="00601F15"/>
    <w:rsid w:val="00602BEB"/>
    <w:rsid w:val="00602DEA"/>
    <w:rsid w:val="006032EB"/>
    <w:rsid w:val="00603981"/>
    <w:rsid w:val="006039F6"/>
    <w:rsid w:val="00603C31"/>
    <w:rsid w:val="00604313"/>
    <w:rsid w:val="0060493B"/>
    <w:rsid w:val="00604BFA"/>
    <w:rsid w:val="0060538C"/>
    <w:rsid w:val="0060539F"/>
    <w:rsid w:val="006057D4"/>
    <w:rsid w:val="006059D8"/>
    <w:rsid w:val="00607410"/>
    <w:rsid w:val="006101F3"/>
    <w:rsid w:val="00610F4D"/>
    <w:rsid w:val="006112BE"/>
    <w:rsid w:val="006116ED"/>
    <w:rsid w:val="00611729"/>
    <w:rsid w:val="006117B0"/>
    <w:rsid w:val="00611EEE"/>
    <w:rsid w:val="00611FE1"/>
    <w:rsid w:val="00612434"/>
    <w:rsid w:val="00612DFE"/>
    <w:rsid w:val="00613504"/>
    <w:rsid w:val="00614183"/>
    <w:rsid w:val="00614E23"/>
    <w:rsid w:val="00615D79"/>
    <w:rsid w:val="00616195"/>
    <w:rsid w:val="006164BA"/>
    <w:rsid w:val="00617254"/>
    <w:rsid w:val="00620155"/>
    <w:rsid w:val="00620172"/>
    <w:rsid w:val="00621044"/>
    <w:rsid w:val="00622099"/>
    <w:rsid w:val="0062288D"/>
    <w:rsid w:val="00622990"/>
    <w:rsid w:val="006236B9"/>
    <w:rsid w:val="00623F84"/>
    <w:rsid w:val="00624C09"/>
    <w:rsid w:val="00624C63"/>
    <w:rsid w:val="006256F3"/>
    <w:rsid w:val="0062599D"/>
    <w:rsid w:val="00625E59"/>
    <w:rsid w:val="00625FBF"/>
    <w:rsid w:val="00626FC0"/>
    <w:rsid w:val="006270AD"/>
    <w:rsid w:val="006300B0"/>
    <w:rsid w:val="00630237"/>
    <w:rsid w:val="0063122A"/>
    <w:rsid w:val="00631297"/>
    <w:rsid w:val="00631726"/>
    <w:rsid w:val="006318D3"/>
    <w:rsid w:val="00631B3A"/>
    <w:rsid w:val="00631D1C"/>
    <w:rsid w:val="00632B9C"/>
    <w:rsid w:val="006332E1"/>
    <w:rsid w:val="006334D9"/>
    <w:rsid w:val="00634159"/>
    <w:rsid w:val="00634377"/>
    <w:rsid w:val="00634871"/>
    <w:rsid w:val="00634A35"/>
    <w:rsid w:val="0063518E"/>
    <w:rsid w:val="006354CD"/>
    <w:rsid w:val="006355D6"/>
    <w:rsid w:val="00635B8F"/>
    <w:rsid w:val="00635C61"/>
    <w:rsid w:val="00636086"/>
    <w:rsid w:val="00636E9A"/>
    <w:rsid w:val="006370AF"/>
    <w:rsid w:val="00637702"/>
    <w:rsid w:val="00637AB6"/>
    <w:rsid w:val="0064014C"/>
    <w:rsid w:val="00640487"/>
    <w:rsid w:val="00640647"/>
    <w:rsid w:val="00640DCA"/>
    <w:rsid w:val="0064227A"/>
    <w:rsid w:val="00642F95"/>
    <w:rsid w:val="00643C98"/>
    <w:rsid w:val="00643F5C"/>
    <w:rsid w:val="00644B63"/>
    <w:rsid w:val="00644D2D"/>
    <w:rsid w:val="006456E9"/>
    <w:rsid w:val="00645845"/>
    <w:rsid w:val="00645A30"/>
    <w:rsid w:val="00645E5D"/>
    <w:rsid w:val="00647B16"/>
    <w:rsid w:val="00650420"/>
    <w:rsid w:val="00650655"/>
    <w:rsid w:val="0065075A"/>
    <w:rsid w:val="006507C2"/>
    <w:rsid w:val="006508C2"/>
    <w:rsid w:val="00650F92"/>
    <w:rsid w:val="0065126B"/>
    <w:rsid w:val="006512C7"/>
    <w:rsid w:val="006515E2"/>
    <w:rsid w:val="00651F3D"/>
    <w:rsid w:val="006526BB"/>
    <w:rsid w:val="00652C57"/>
    <w:rsid w:val="00652E17"/>
    <w:rsid w:val="00653F83"/>
    <w:rsid w:val="00653F87"/>
    <w:rsid w:val="00654826"/>
    <w:rsid w:val="00654E83"/>
    <w:rsid w:val="00655F57"/>
    <w:rsid w:val="00655FE7"/>
    <w:rsid w:val="0065631E"/>
    <w:rsid w:val="00656667"/>
    <w:rsid w:val="006566CD"/>
    <w:rsid w:val="006568DC"/>
    <w:rsid w:val="00656D6A"/>
    <w:rsid w:val="00660139"/>
    <w:rsid w:val="006608EA"/>
    <w:rsid w:val="00662891"/>
    <w:rsid w:val="00663532"/>
    <w:rsid w:val="0066364B"/>
    <w:rsid w:val="00663912"/>
    <w:rsid w:val="00663A7D"/>
    <w:rsid w:val="0066417B"/>
    <w:rsid w:val="006645B6"/>
    <w:rsid w:val="00666D2A"/>
    <w:rsid w:val="00666FFC"/>
    <w:rsid w:val="00667F53"/>
    <w:rsid w:val="006702D1"/>
    <w:rsid w:val="006711A5"/>
    <w:rsid w:val="00671411"/>
    <w:rsid w:val="006718B6"/>
    <w:rsid w:val="00671CEF"/>
    <w:rsid w:val="00671F66"/>
    <w:rsid w:val="00673C7B"/>
    <w:rsid w:val="00673E7B"/>
    <w:rsid w:val="006742D5"/>
    <w:rsid w:val="00674FD9"/>
    <w:rsid w:val="00675866"/>
    <w:rsid w:val="00675C65"/>
    <w:rsid w:val="006766B3"/>
    <w:rsid w:val="00676DBE"/>
    <w:rsid w:val="00677C80"/>
    <w:rsid w:val="00677D02"/>
    <w:rsid w:val="00680979"/>
    <w:rsid w:val="006810F2"/>
    <w:rsid w:val="006817D4"/>
    <w:rsid w:val="006823B8"/>
    <w:rsid w:val="0068256F"/>
    <w:rsid w:val="00682853"/>
    <w:rsid w:val="00683CC2"/>
    <w:rsid w:val="00683F50"/>
    <w:rsid w:val="00684DB0"/>
    <w:rsid w:val="00684F76"/>
    <w:rsid w:val="00685A06"/>
    <w:rsid w:val="00686074"/>
    <w:rsid w:val="00690F54"/>
    <w:rsid w:val="0069102C"/>
    <w:rsid w:val="00691080"/>
    <w:rsid w:val="00691259"/>
    <w:rsid w:val="00691EF6"/>
    <w:rsid w:val="0069206C"/>
    <w:rsid w:val="00692607"/>
    <w:rsid w:val="00692826"/>
    <w:rsid w:val="006934FB"/>
    <w:rsid w:val="00693A03"/>
    <w:rsid w:val="00693F77"/>
    <w:rsid w:val="006957BD"/>
    <w:rsid w:val="0069581E"/>
    <w:rsid w:val="006974D4"/>
    <w:rsid w:val="006A064E"/>
    <w:rsid w:val="006A12A2"/>
    <w:rsid w:val="006A2A74"/>
    <w:rsid w:val="006A2EF0"/>
    <w:rsid w:val="006A38F2"/>
    <w:rsid w:val="006A3C9D"/>
    <w:rsid w:val="006A44F2"/>
    <w:rsid w:val="006A4FFC"/>
    <w:rsid w:val="006A53D1"/>
    <w:rsid w:val="006A631E"/>
    <w:rsid w:val="006A633C"/>
    <w:rsid w:val="006A70C8"/>
    <w:rsid w:val="006A7C46"/>
    <w:rsid w:val="006B06AB"/>
    <w:rsid w:val="006B0816"/>
    <w:rsid w:val="006B0C8D"/>
    <w:rsid w:val="006B1257"/>
    <w:rsid w:val="006B1669"/>
    <w:rsid w:val="006B2FF6"/>
    <w:rsid w:val="006B32D3"/>
    <w:rsid w:val="006B3519"/>
    <w:rsid w:val="006B35B3"/>
    <w:rsid w:val="006B3D59"/>
    <w:rsid w:val="006B4AD2"/>
    <w:rsid w:val="006B4D2B"/>
    <w:rsid w:val="006B63AF"/>
    <w:rsid w:val="006B7788"/>
    <w:rsid w:val="006B7831"/>
    <w:rsid w:val="006B78C1"/>
    <w:rsid w:val="006C00B2"/>
    <w:rsid w:val="006C077C"/>
    <w:rsid w:val="006C111D"/>
    <w:rsid w:val="006C1B18"/>
    <w:rsid w:val="006C1D59"/>
    <w:rsid w:val="006C22F7"/>
    <w:rsid w:val="006C2867"/>
    <w:rsid w:val="006C2C94"/>
    <w:rsid w:val="006C363D"/>
    <w:rsid w:val="006C36E4"/>
    <w:rsid w:val="006C3CD6"/>
    <w:rsid w:val="006C580E"/>
    <w:rsid w:val="006C6615"/>
    <w:rsid w:val="006C6623"/>
    <w:rsid w:val="006C6687"/>
    <w:rsid w:val="006C6E78"/>
    <w:rsid w:val="006C72A3"/>
    <w:rsid w:val="006C7529"/>
    <w:rsid w:val="006C7C9B"/>
    <w:rsid w:val="006D0325"/>
    <w:rsid w:val="006D1ED8"/>
    <w:rsid w:val="006D21B5"/>
    <w:rsid w:val="006D2414"/>
    <w:rsid w:val="006D292B"/>
    <w:rsid w:val="006D3BB5"/>
    <w:rsid w:val="006D4E5F"/>
    <w:rsid w:val="006D4ECC"/>
    <w:rsid w:val="006D51E7"/>
    <w:rsid w:val="006D5345"/>
    <w:rsid w:val="006D54B2"/>
    <w:rsid w:val="006D5893"/>
    <w:rsid w:val="006E01DC"/>
    <w:rsid w:val="006E03C6"/>
    <w:rsid w:val="006E1027"/>
    <w:rsid w:val="006E114E"/>
    <w:rsid w:val="006E30A6"/>
    <w:rsid w:val="006E3807"/>
    <w:rsid w:val="006E3C16"/>
    <w:rsid w:val="006E3D11"/>
    <w:rsid w:val="006E418F"/>
    <w:rsid w:val="006E426A"/>
    <w:rsid w:val="006E46C8"/>
    <w:rsid w:val="006E4EA4"/>
    <w:rsid w:val="006E57DF"/>
    <w:rsid w:val="006E5F43"/>
    <w:rsid w:val="006E60AE"/>
    <w:rsid w:val="006E7626"/>
    <w:rsid w:val="006E7AA1"/>
    <w:rsid w:val="006F02FF"/>
    <w:rsid w:val="006F0642"/>
    <w:rsid w:val="006F0C04"/>
    <w:rsid w:val="006F0CB4"/>
    <w:rsid w:val="006F1009"/>
    <w:rsid w:val="006F1430"/>
    <w:rsid w:val="006F15CA"/>
    <w:rsid w:val="006F22FB"/>
    <w:rsid w:val="006F2F9F"/>
    <w:rsid w:val="006F3EDE"/>
    <w:rsid w:val="006F4E5E"/>
    <w:rsid w:val="006F703D"/>
    <w:rsid w:val="006F71FA"/>
    <w:rsid w:val="006F7B72"/>
    <w:rsid w:val="006F7FCE"/>
    <w:rsid w:val="00700581"/>
    <w:rsid w:val="00700B52"/>
    <w:rsid w:val="007010A8"/>
    <w:rsid w:val="00701F6C"/>
    <w:rsid w:val="00702A26"/>
    <w:rsid w:val="007033E6"/>
    <w:rsid w:val="007039EC"/>
    <w:rsid w:val="00703B9A"/>
    <w:rsid w:val="00703DBC"/>
    <w:rsid w:val="0070438A"/>
    <w:rsid w:val="007048CF"/>
    <w:rsid w:val="007049A3"/>
    <w:rsid w:val="00705182"/>
    <w:rsid w:val="0070656B"/>
    <w:rsid w:val="00706AD8"/>
    <w:rsid w:val="00706C5C"/>
    <w:rsid w:val="00706D1D"/>
    <w:rsid w:val="007070C8"/>
    <w:rsid w:val="00707AD8"/>
    <w:rsid w:val="00710525"/>
    <w:rsid w:val="00710763"/>
    <w:rsid w:val="00710E30"/>
    <w:rsid w:val="00711FCC"/>
    <w:rsid w:val="00712DAC"/>
    <w:rsid w:val="00713922"/>
    <w:rsid w:val="0071493B"/>
    <w:rsid w:val="00715D65"/>
    <w:rsid w:val="00715EC1"/>
    <w:rsid w:val="007167AF"/>
    <w:rsid w:val="007168BA"/>
    <w:rsid w:val="00716B63"/>
    <w:rsid w:val="00716FA6"/>
    <w:rsid w:val="00717068"/>
    <w:rsid w:val="00717107"/>
    <w:rsid w:val="00717200"/>
    <w:rsid w:val="00717ADF"/>
    <w:rsid w:val="00717DEF"/>
    <w:rsid w:val="00717EBF"/>
    <w:rsid w:val="00720C2B"/>
    <w:rsid w:val="00720D79"/>
    <w:rsid w:val="00721271"/>
    <w:rsid w:val="00721ECA"/>
    <w:rsid w:val="00721F3D"/>
    <w:rsid w:val="00722C41"/>
    <w:rsid w:val="00722E6D"/>
    <w:rsid w:val="00723D55"/>
    <w:rsid w:val="00723EAA"/>
    <w:rsid w:val="007247E1"/>
    <w:rsid w:val="00724D73"/>
    <w:rsid w:val="00724E0B"/>
    <w:rsid w:val="00725897"/>
    <w:rsid w:val="00725CC0"/>
    <w:rsid w:val="00726C88"/>
    <w:rsid w:val="00726D1C"/>
    <w:rsid w:val="00730FCB"/>
    <w:rsid w:val="0073100D"/>
    <w:rsid w:val="007325DA"/>
    <w:rsid w:val="00732861"/>
    <w:rsid w:val="00733630"/>
    <w:rsid w:val="007336FB"/>
    <w:rsid w:val="00733EF9"/>
    <w:rsid w:val="007344E8"/>
    <w:rsid w:val="0073489A"/>
    <w:rsid w:val="00734B60"/>
    <w:rsid w:val="00735F5A"/>
    <w:rsid w:val="0073750C"/>
    <w:rsid w:val="00737764"/>
    <w:rsid w:val="00737A85"/>
    <w:rsid w:val="00737AFF"/>
    <w:rsid w:val="00737D3E"/>
    <w:rsid w:val="0074062E"/>
    <w:rsid w:val="0074201D"/>
    <w:rsid w:val="007429DC"/>
    <w:rsid w:val="00743919"/>
    <w:rsid w:val="00744359"/>
    <w:rsid w:val="0074489F"/>
    <w:rsid w:val="0074499A"/>
    <w:rsid w:val="007463F0"/>
    <w:rsid w:val="00747028"/>
    <w:rsid w:val="0074705B"/>
    <w:rsid w:val="00747B3D"/>
    <w:rsid w:val="00751113"/>
    <w:rsid w:val="0075165F"/>
    <w:rsid w:val="00751FE4"/>
    <w:rsid w:val="007521DC"/>
    <w:rsid w:val="00752CF3"/>
    <w:rsid w:val="007531B5"/>
    <w:rsid w:val="007533A1"/>
    <w:rsid w:val="00753549"/>
    <w:rsid w:val="0075591A"/>
    <w:rsid w:val="00755C2F"/>
    <w:rsid w:val="00756286"/>
    <w:rsid w:val="0075689A"/>
    <w:rsid w:val="007569E7"/>
    <w:rsid w:val="00756DDC"/>
    <w:rsid w:val="00757226"/>
    <w:rsid w:val="00757548"/>
    <w:rsid w:val="00757734"/>
    <w:rsid w:val="00757B61"/>
    <w:rsid w:val="00757FF1"/>
    <w:rsid w:val="007600A0"/>
    <w:rsid w:val="00761652"/>
    <w:rsid w:val="007629E5"/>
    <w:rsid w:val="00762A6B"/>
    <w:rsid w:val="007632F8"/>
    <w:rsid w:val="00764C88"/>
    <w:rsid w:val="00766281"/>
    <w:rsid w:val="007714D7"/>
    <w:rsid w:val="00771605"/>
    <w:rsid w:val="00771D6E"/>
    <w:rsid w:val="00771E4E"/>
    <w:rsid w:val="0077206F"/>
    <w:rsid w:val="00772941"/>
    <w:rsid w:val="00772A85"/>
    <w:rsid w:val="007740A9"/>
    <w:rsid w:val="0077439C"/>
    <w:rsid w:val="00774ABA"/>
    <w:rsid w:val="007753D4"/>
    <w:rsid w:val="007755F1"/>
    <w:rsid w:val="00775946"/>
    <w:rsid w:val="00775CD9"/>
    <w:rsid w:val="007767B4"/>
    <w:rsid w:val="00777411"/>
    <w:rsid w:val="007776D0"/>
    <w:rsid w:val="00777C29"/>
    <w:rsid w:val="00777CF9"/>
    <w:rsid w:val="00777E10"/>
    <w:rsid w:val="00777F42"/>
    <w:rsid w:val="0078033F"/>
    <w:rsid w:val="00780D93"/>
    <w:rsid w:val="00781C74"/>
    <w:rsid w:val="0078222E"/>
    <w:rsid w:val="007824CE"/>
    <w:rsid w:val="007835F2"/>
    <w:rsid w:val="00783603"/>
    <w:rsid w:val="00783A02"/>
    <w:rsid w:val="00784FAE"/>
    <w:rsid w:val="00786141"/>
    <w:rsid w:val="00786380"/>
    <w:rsid w:val="007867FB"/>
    <w:rsid w:val="00786A3E"/>
    <w:rsid w:val="00787C7A"/>
    <w:rsid w:val="00791F70"/>
    <w:rsid w:val="00791F77"/>
    <w:rsid w:val="0079241E"/>
    <w:rsid w:val="007926DE"/>
    <w:rsid w:val="00792788"/>
    <w:rsid w:val="0079283F"/>
    <w:rsid w:val="00792AAD"/>
    <w:rsid w:val="007934B0"/>
    <w:rsid w:val="00793EA3"/>
    <w:rsid w:val="0079484E"/>
    <w:rsid w:val="00794CBE"/>
    <w:rsid w:val="00794F65"/>
    <w:rsid w:val="00795674"/>
    <w:rsid w:val="00795BD8"/>
    <w:rsid w:val="007973AB"/>
    <w:rsid w:val="00797F8E"/>
    <w:rsid w:val="007A00A3"/>
    <w:rsid w:val="007A056C"/>
    <w:rsid w:val="007A0F4C"/>
    <w:rsid w:val="007A171D"/>
    <w:rsid w:val="007A1EAF"/>
    <w:rsid w:val="007A21EC"/>
    <w:rsid w:val="007A247B"/>
    <w:rsid w:val="007A2CD2"/>
    <w:rsid w:val="007A3313"/>
    <w:rsid w:val="007A35D0"/>
    <w:rsid w:val="007A3BFB"/>
    <w:rsid w:val="007A3FA3"/>
    <w:rsid w:val="007A46E9"/>
    <w:rsid w:val="007A4929"/>
    <w:rsid w:val="007A4EBE"/>
    <w:rsid w:val="007A68F3"/>
    <w:rsid w:val="007A6DE4"/>
    <w:rsid w:val="007A7263"/>
    <w:rsid w:val="007A7904"/>
    <w:rsid w:val="007A7CAB"/>
    <w:rsid w:val="007A7CC7"/>
    <w:rsid w:val="007B1413"/>
    <w:rsid w:val="007B1516"/>
    <w:rsid w:val="007B1665"/>
    <w:rsid w:val="007B24D9"/>
    <w:rsid w:val="007B322C"/>
    <w:rsid w:val="007B3952"/>
    <w:rsid w:val="007B3B4B"/>
    <w:rsid w:val="007B3F12"/>
    <w:rsid w:val="007B47DC"/>
    <w:rsid w:val="007B50F8"/>
    <w:rsid w:val="007B613E"/>
    <w:rsid w:val="007B63D9"/>
    <w:rsid w:val="007B6A0E"/>
    <w:rsid w:val="007B6AF9"/>
    <w:rsid w:val="007B6DD0"/>
    <w:rsid w:val="007B6F07"/>
    <w:rsid w:val="007B6FDD"/>
    <w:rsid w:val="007B7157"/>
    <w:rsid w:val="007B78D3"/>
    <w:rsid w:val="007C191A"/>
    <w:rsid w:val="007C202B"/>
    <w:rsid w:val="007C3B26"/>
    <w:rsid w:val="007C430C"/>
    <w:rsid w:val="007C46F5"/>
    <w:rsid w:val="007C4763"/>
    <w:rsid w:val="007C4C8F"/>
    <w:rsid w:val="007C563C"/>
    <w:rsid w:val="007C5D2E"/>
    <w:rsid w:val="007C688A"/>
    <w:rsid w:val="007C787D"/>
    <w:rsid w:val="007C7E9A"/>
    <w:rsid w:val="007C7F4F"/>
    <w:rsid w:val="007D00E1"/>
    <w:rsid w:val="007D065A"/>
    <w:rsid w:val="007D082A"/>
    <w:rsid w:val="007D1A5D"/>
    <w:rsid w:val="007D235A"/>
    <w:rsid w:val="007D23D4"/>
    <w:rsid w:val="007D2826"/>
    <w:rsid w:val="007D3136"/>
    <w:rsid w:val="007D473F"/>
    <w:rsid w:val="007D4C50"/>
    <w:rsid w:val="007D5324"/>
    <w:rsid w:val="007D5CE6"/>
    <w:rsid w:val="007D7316"/>
    <w:rsid w:val="007D7AB6"/>
    <w:rsid w:val="007E015B"/>
    <w:rsid w:val="007E0B84"/>
    <w:rsid w:val="007E0D9C"/>
    <w:rsid w:val="007E2135"/>
    <w:rsid w:val="007E2D3F"/>
    <w:rsid w:val="007E34D8"/>
    <w:rsid w:val="007E3633"/>
    <w:rsid w:val="007E3F7B"/>
    <w:rsid w:val="007E4199"/>
    <w:rsid w:val="007E4456"/>
    <w:rsid w:val="007E4CA4"/>
    <w:rsid w:val="007E5895"/>
    <w:rsid w:val="007E70B4"/>
    <w:rsid w:val="007E7643"/>
    <w:rsid w:val="007E7659"/>
    <w:rsid w:val="007E79D6"/>
    <w:rsid w:val="007F04E7"/>
    <w:rsid w:val="007F056B"/>
    <w:rsid w:val="007F1352"/>
    <w:rsid w:val="007F196A"/>
    <w:rsid w:val="007F34BE"/>
    <w:rsid w:val="007F38B9"/>
    <w:rsid w:val="007F46D4"/>
    <w:rsid w:val="007F5019"/>
    <w:rsid w:val="007F5026"/>
    <w:rsid w:val="007F5B14"/>
    <w:rsid w:val="007F62CD"/>
    <w:rsid w:val="007F6DF5"/>
    <w:rsid w:val="007F7064"/>
    <w:rsid w:val="007F7F0F"/>
    <w:rsid w:val="007F7FC5"/>
    <w:rsid w:val="00800ECF"/>
    <w:rsid w:val="00801731"/>
    <w:rsid w:val="008030D8"/>
    <w:rsid w:val="008037BF"/>
    <w:rsid w:val="00803F94"/>
    <w:rsid w:val="00804365"/>
    <w:rsid w:val="008049EF"/>
    <w:rsid w:val="00804E07"/>
    <w:rsid w:val="00804E96"/>
    <w:rsid w:val="00805419"/>
    <w:rsid w:val="0080565E"/>
    <w:rsid w:val="00806A49"/>
    <w:rsid w:val="00806D13"/>
    <w:rsid w:val="00807087"/>
    <w:rsid w:val="00811915"/>
    <w:rsid w:val="00812616"/>
    <w:rsid w:val="008133F3"/>
    <w:rsid w:val="00814383"/>
    <w:rsid w:val="008144F4"/>
    <w:rsid w:val="008147A2"/>
    <w:rsid w:val="008148A0"/>
    <w:rsid w:val="00814D02"/>
    <w:rsid w:val="008154B0"/>
    <w:rsid w:val="008157A5"/>
    <w:rsid w:val="00815805"/>
    <w:rsid w:val="00815AA7"/>
    <w:rsid w:val="00815AD5"/>
    <w:rsid w:val="00815BD4"/>
    <w:rsid w:val="00816678"/>
    <w:rsid w:val="00816A38"/>
    <w:rsid w:val="00816A5D"/>
    <w:rsid w:val="008172E4"/>
    <w:rsid w:val="0081730E"/>
    <w:rsid w:val="0081748C"/>
    <w:rsid w:val="008179D8"/>
    <w:rsid w:val="00817F3B"/>
    <w:rsid w:val="0082015F"/>
    <w:rsid w:val="00820F60"/>
    <w:rsid w:val="00821B28"/>
    <w:rsid w:val="00822097"/>
    <w:rsid w:val="0082231F"/>
    <w:rsid w:val="00822510"/>
    <w:rsid w:val="00822884"/>
    <w:rsid w:val="008228DE"/>
    <w:rsid w:val="00823209"/>
    <w:rsid w:val="00823270"/>
    <w:rsid w:val="00823C80"/>
    <w:rsid w:val="00823E93"/>
    <w:rsid w:val="00823F52"/>
    <w:rsid w:val="00824730"/>
    <w:rsid w:val="00825A41"/>
    <w:rsid w:val="00826755"/>
    <w:rsid w:val="00826A0F"/>
    <w:rsid w:val="00826FF3"/>
    <w:rsid w:val="0082723A"/>
    <w:rsid w:val="00827315"/>
    <w:rsid w:val="008274BA"/>
    <w:rsid w:val="008278AC"/>
    <w:rsid w:val="008306A0"/>
    <w:rsid w:val="00830E70"/>
    <w:rsid w:val="00830EB7"/>
    <w:rsid w:val="008311E8"/>
    <w:rsid w:val="00832B6E"/>
    <w:rsid w:val="00832D36"/>
    <w:rsid w:val="00832D69"/>
    <w:rsid w:val="008330D1"/>
    <w:rsid w:val="00834521"/>
    <w:rsid w:val="008347CD"/>
    <w:rsid w:val="00834A4F"/>
    <w:rsid w:val="008350A6"/>
    <w:rsid w:val="00835783"/>
    <w:rsid w:val="008368FB"/>
    <w:rsid w:val="00836AC9"/>
    <w:rsid w:val="00837B77"/>
    <w:rsid w:val="00837F79"/>
    <w:rsid w:val="00840689"/>
    <w:rsid w:val="0084155F"/>
    <w:rsid w:val="00841B46"/>
    <w:rsid w:val="00842B61"/>
    <w:rsid w:val="00842BAF"/>
    <w:rsid w:val="008430C3"/>
    <w:rsid w:val="00844611"/>
    <w:rsid w:val="008446FF"/>
    <w:rsid w:val="00844EF7"/>
    <w:rsid w:val="008462D0"/>
    <w:rsid w:val="0084751D"/>
    <w:rsid w:val="0085011E"/>
    <w:rsid w:val="0085068F"/>
    <w:rsid w:val="00850849"/>
    <w:rsid w:val="00850E43"/>
    <w:rsid w:val="00851060"/>
    <w:rsid w:val="0085112D"/>
    <w:rsid w:val="00852022"/>
    <w:rsid w:val="00852351"/>
    <w:rsid w:val="008523CC"/>
    <w:rsid w:val="00853597"/>
    <w:rsid w:val="0085373E"/>
    <w:rsid w:val="00853BD0"/>
    <w:rsid w:val="00854467"/>
    <w:rsid w:val="008573B1"/>
    <w:rsid w:val="008574A3"/>
    <w:rsid w:val="0085757B"/>
    <w:rsid w:val="00860B87"/>
    <w:rsid w:val="00861C89"/>
    <w:rsid w:val="00862451"/>
    <w:rsid w:val="00862FAE"/>
    <w:rsid w:val="00863520"/>
    <w:rsid w:val="00863FB1"/>
    <w:rsid w:val="00863FFD"/>
    <w:rsid w:val="008641F5"/>
    <w:rsid w:val="008643C8"/>
    <w:rsid w:val="00865C4F"/>
    <w:rsid w:val="00866777"/>
    <w:rsid w:val="00866E56"/>
    <w:rsid w:val="0086793C"/>
    <w:rsid w:val="008708AF"/>
    <w:rsid w:val="00870A87"/>
    <w:rsid w:val="00870E65"/>
    <w:rsid w:val="008710F1"/>
    <w:rsid w:val="008711D3"/>
    <w:rsid w:val="00871203"/>
    <w:rsid w:val="0087124B"/>
    <w:rsid w:val="0087151D"/>
    <w:rsid w:val="008726A7"/>
    <w:rsid w:val="00872AED"/>
    <w:rsid w:val="0087321D"/>
    <w:rsid w:val="0087422F"/>
    <w:rsid w:val="0087581E"/>
    <w:rsid w:val="00875E5E"/>
    <w:rsid w:val="00876A98"/>
    <w:rsid w:val="00877104"/>
    <w:rsid w:val="008772D9"/>
    <w:rsid w:val="0087756F"/>
    <w:rsid w:val="008775DB"/>
    <w:rsid w:val="008775FE"/>
    <w:rsid w:val="0087787E"/>
    <w:rsid w:val="008804D3"/>
    <w:rsid w:val="00880D47"/>
    <w:rsid w:val="008815A1"/>
    <w:rsid w:val="008820A3"/>
    <w:rsid w:val="00882A82"/>
    <w:rsid w:val="00882BD9"/>
    <w:rsid w:val="00882E39"/>
    <w:rsid w:val="0088328F"/>
    <w:rsid w:val="0088384F"/>
    <w:rsid w:val="008838B6"/>
    <w:rsid w:val="008843E9"/>
    <w:rsid w:val="00884586"/>
    <w:rsid w:val="0088488C"/>
    <w:rsid w:val="00884B82"/>
    <w:rsid w:val="00884C02"/>
    <w:rsid w:val="008850A1"/>
    <w:rsid w:val="00885883"/>
    <w:rsid w:val="008858C1"/>
    <w:rsid w:val="00885B52"/>
    <w:rsid w:val="00886178"/>
    <w:rsid w:val="00886822"/>
    <w:rsid w:val="00887442"/>
    <w:rsid w:val="00887DFC"/>
    <w:rsid w:val="00891F9A"/>
    <w:rsid w:val="00892927"/>
    <w:rsid w:val="0089310B"/>
    <w:rsid w:val="00893135"/>
    <w:rsid w:val="0089534F"/>
    <w:rsid w:val="00895532"/>
    <w:rsid w:val="00895A86"/>
    <w:rsid w:val="00896195"/>
    <w:rsid w:val="00896439"/>
    <w:rsid w:val="008968F5"/>
    <w:rsid w:val="0089705C"/>
    <w:rsid w:val="00897162"/>
    <w:rsid w:val="00897225"/>
    <w:rsid w:val="00897D35"/>
    <w:rsid w:val="008A2411"/>
    <w:rsid w:val="008A29DA"/>
    <w:rsid w:val="008A3307"/>
    <w:rsid w:val="008A3362"/>
    <w:rsid w:val="008A3A63"/>
    <w:rsid w:val="008A3D2D"/>
    <w:rsid w:val="008A3E3D"/>
    <w:rsid w:val="008A41FA"/>
    <w:rsid w:val="008A45AD"/>
    <w:rsid w:val="008A4AD2"/>
    <w:rsid w:val="008A4E8B"/>
    <w:rsid w:val="008A5C40"/>
    <w:rsid w:val="008A5C5B"/>
    <w:rsid w:val="008A5D8F"/>
    <w:rsid w:val="008A5F13"/>
    <w:rsid w:val="008A629F"/>
    <w:rsid w:val="008A62A2"/>
    <w:rsid w:val="008A63EE"/>
    <w:rsid w:val="008A6A62"/>
    <w:rsid w:val="008A6B00"/>
    <w:rsid w:val="008A6E35"/>
    <w:rsid w:val="008A737E"/>
    <w:rsid w:val="008B0960"/>
    <w:rsid w:val="008B113D"/>
    <w:rsid w:val="008B14D5"/>
    <w:rsid w:val="008B1F8C"/>
    <w:rsid w:val="008B208A"/>
    <w:rsid w:val="008B2514"/>
    <w:rsid w:val="008B4248"/>
    <w:rsid w:val="008B4474"/>
    <w:rsid w:val="008B4A4F"/>
    <w:rsid w:val="008B54F5"/>
    <w:rsid w:val="008B6082"/>
    <w:rsid w:val="008B61F7"/>
    <w:rsid w:val="008B742A"/>
    <w:rsid w:val="008B786F"/>
    <w:rsid w:val="008C111C"/>
    <w:rsid w:val="008C4BB4"/>
    <w:rsid w:val="008C4CBB"/>
    <w:rsid w:val="008C595F"/>
    <w:rsid w:val="008C6285"/>
    <w:rsid w:val="008C67CA"/>
    <w:rsid w:val="008C69CA"/>
    <w:rsid w:val="008C6DD6"/>
    <w:rsid w:val="008C6FF1"/>
    <w:rsid w:val="008C70D7"/>
    <w:rsid w:val="008C70E6"/>
    <w:rsid w:val="008C7433"/>
    <w:rsid w:val="008C76A5"/>
    <w:rsid w:val="008C7AA1"/>
    <w:rsid w:val="008C7B45"/>
    <w:rsid w:val="008D0CAC"/>
    <w:rsid w:val="008D1714"/>
    <w:rsid w:val="008D2058"/>
    <w:rsid w:val="008D27A2"/>
    <w:rsid w:val="008D3287"/>
    <w:rsid w:val="008D4E66"/>
    <w:rsid w:val="008D4E6E"/>
    <w:rsid w:val="008D5981"/>
    <w:rsid w:val="008D6281"/>
    <w:rsid w:val="008D6578"/>
    <w:rsid w:val="008D70EC"/>
    <w:rsid w:val="008D7569"/>
    <w:rsid w:val="008D7998"/>
    <w:rsid w:val="008D7A20"/>
    <w:rsid w:val="008E084C"/>
    <w:rsid w:val="008E161F"/>
    <w:rsid w:val="008E17EF"/>
    <w:rsid w:val="008E18B9"/>
    <w:rsid w:val="008E1D65"/>
    <w:rsid w:val="008E3AAD"/>
    <w:rsid w:val="008E3F2E"/>
    <w:rsid w:val="008E4070"/>
    <w:rsid w:val="008E41BB"/>
    <w:rsid w:val="008E5162"/>
    <w:rsid w:val="008E523A"/>
    <w:rsid w:val="008E5EC7"/>
    <w:rsid w:val="008E6AD3"/>
    <w:rsid w:val="008E6C92"/>
    <w:rsid w:val="008E6FDE"/>
    <w:rsid w:val="008F046C"/>
    <w:rsid w:val="008F09AF"/>
    <w:rsid w:val="008F0BF1"/>
    <w:rsid w:val="008F2135"/>
    <w:rsid w:val="008F2A21"/>
    <w:rsid w:val="008F3149"/>
    <w:rsid w:val="008F33C6"/>
    <w:rsid w:val="008F343B"/>
    <w:rsid w:val="008F369C"/>
    <w:rsid w:val="008F3796"/>
    <w:rsid w:val="008F417E"/>
    <w:rsid w:val="008F448E"/>
    <w:rsid w:val="008F44E3"/>
    <w:rsid w:val="00900461"/>
    <w:rsid w:val="00900C7A"/>
    <w:rsid w:val="00901F72"/>
    <w:rsid w:val="00902699"/>
    <w:rsid w:val="00902A33"/>
    <w:rsid w:val="00902C3A"/>
    <w:rsid w:val="00902DDD"/>
    <w:rsid w:val="00903105"/>
    <w:rsid w:val="00903FE3"/>
    <w:rsid w:val="0090426B"/>
    <w:rsid w:val="009042BB"/>
    <w:rsid w:val="00904579"/>
    <w:rsid w:val="00904811"/>
    <w:rsid w:val="00904966"/>
    <w:rsid w:val="00904A13"/>
    <w:rsid w:val="0090529E"/>
    <w:rsid w:val="00906061"/>
    <w:rsid w:val="00906241"/>
    <w:rsid w:val="00906504"/>
    <w:rsid w:val="00906818"/>
    <w:rsid w:val="00906A31"/>
    <w:rsid w:val="00906A32"/>
    <w:rsid w:val="0090706D"/>
    <w:rsid w:val="009072CF"/>
    <w:rsid w:val="009100FD"/>
    <w:rsid w:val="00910366"/>
    <w:rsid w:val="00911002"/>
    <w:rsid w:val="0091189C"/>
    <w:rsid w:val="00911F40"/>
    <w:rsid w:val="009120FA"/>
    <w:rsid w:val="00912127"/>
    <w:rsid w:val="009125BF"/>
    <w:rsid w:val="0091269D"/>
    <w:rsid w:val="00913213"/>
    <w:rsid w:val="0091489B"/>
    <w:rsid w:val="00914E53"/>
    <w:rsid w:val="0091511A"/>
    <w:rsid w:val="009167B1"/>
    <w:rsid w:val="00917194"/>
    <w:rsid w:val="00917CD1"/>
    <w:rsid w:val="00917D03"/>
    <w:rsid w:val="00917E71"/>
    <w:rsid w:val="00921A62"/>
    <w:rsid w:val="00922753"/>
    <w:rsid w:val="00922884"/>
    <w:rsid w:val="00922C21"/>
    <w:rsid w:val="00922D67"/>
    <w:rsid w:val="00922DB1"/>
    <w:rsid w:val="0092341C"/>
    <w:rsid w:val="009235FB"/>
    <w:rsid w:val="009236F1"/>
    <w:rsid w:val="00924731"/>
    <w:rsid w:val="00924D2C"/>
    <w:rsid w:val="00925C0C"/>
    <w:rsid w:val="00925D3D"/>
    <w:rsid w:val="0092646C"/>
    <w:rsid w:val="009265C9"/>
    <w:rsid w:val="0092662A"/>
    <w:rsid w:val="00926EA6"/>
    <w:rsid w:val="0092714E"/>
    <w:rsid w:val="0092781B"/>
    <w:rsid w:val="0092792B"/>
    <w:rsid w:val="00927E1B"/>
    <w:rsid w:val="00930075"/>
    <w:rsid w:val="00930266"/>
    <w:rsid w:val="009302E5"/>
    <w:rsid w:val="009306A2"/>
    <w:rsid w:val="00930A24"/>
    <w:rsid w:val="00931805"/>
    <w:rsid w:val="009319BB"/>
    <w:rsid w:val="00933658"/>
    <w:rsid w:val="00933A6D"/>
    <w:rsid w:val="00933B9B"/>
    <w:rsid w:val="00933BBF"/>
    <w:rsid w:val="009340E6"/>
    <w:rsid w:val="0093470F"/>
    <w:rsid w:val="0093481B"/>
    <w:rsid w:val="00935447"/>
    <w:rsid w:val="00935880"/>
    <w:rsid w:val="00935CD7"/>
    <w:rsid w:val="00935E49"/>
    <w:rsid w:val="00936230"/>
    <w:rsid w:val="00937041"/>
    <w:rsid w:val="0093722E"/>
    <w:rsid w:val="00937232"/>
    <w:rsid w:val="00937A39"/>
    <w:rsid w:val="0094017D"/>
    <w:rsid w:val="009401AD"/>
    <w:rsid w:val="009405C7"/>
    <w:rsid w:val="0094108A"/>
    <w:rsid w:val="009412EC"/>
    <w:rsid w:val="00942654"/>
    <w:rsid w:val="0094269B"/>
    <w:rsid w:val="00942F07"/>
    <w:rsid w:val="00943606"/>
    <w:rsid w:val="00943893"/>
    <w:rsid w:val="00943D5F"/>
    <w:rsid w:val="0094591C"/>
    <w:rsid w:val="009460C2"/>
    <w:rsid w:val="00946E7F"/>
    <w:rsid w:val="00947316"/>
    <w:rsid w:val="0094787B"/>
    <w:rsid w:val="00947883"/>
    <w:rsid w:val="00947F26"/>
    <w:rsid w:val="0095046C"/>
    <w:rsid w:val="009516FF"/>
    <w:rsid w:val="009517C9"/>
    <w:rsid w:val="00953786"/>
    <w:rsid w:val="00953E4A"/>
    <w:rsid w:val="00954714"/>
    <w:rsid w:val="00955BA1"/>
    <w:rsid w:val="00956F02"/>
    <w:rsid w:val="009577FF"/>
    <w:rsid w:val="0096126C"/>
    <w:rsid w:val="0096192D"/>
    <w:rsid w:val="0096228D"/>
    <w:rsid w:val="0096270C"/>
    <w:rsid w:val="0096294E"/>
    <w:rsid w:val="009629B8"/>
    <w:rsid w:val="00962F12"/>
    <w:rsid w:val="009640C5"/>
    <w:rsid w:val="0096415E"/>
    <w:rsid w:val="009648DF"/>
    <w:rsid w:val="009648FE"/>
    <w:rsid w:val="0096543F"/>
    <w:rsid w:val="00965793"/>
    <w:rsid w:val="00966724"/>
    <w:rsid w:val="0096680A"/>
    <w:rsid w:val="00966B73"/>
    <w:rsid w:val="009671DB"/>
    <w:rsid w:val="0097023D"/>
    <w:rsid w:val="009715A2"/>
    <w:rsid w:val="00971F36"/>
    <w:rsid w:val="00972068"/>
    <w:rsid w:val="00972724"/>
    <w:rsid w:val="00972A86"/>
    <w:rsid w:val="00973306"/>
    <w:rsid w:val="009734B3"/>
    <w:rsid w:val="00973B69"/>
    <w:rsid w:val="00973E46"/>
    <w:rsid w:val="0097426F"/>
    <w:rsid w:val="009743C6"/>
    <w:rsid w:val="00974742"/>
    <w:rsid w:val="00974B31"/>
    <w:rsid w:val="00974CE6"/>
    <w:rsid w:val="0097509A"/>
    <w:rsid w:val="009764F2"/>
    <w:rsid w:val="00976973"/>
    <w:rsid w:val="00977859"/>
    <w:rsid w:val="00977F55"/>
    <w:rsid w:val="00980E02"/>
    <w:rsid w:val="009814B1"/>
    <w:rsid w:val="00981A2A"/>
    <w:rsid w:val="00982397"/>
    <w:rsid w:val="009825B1"/>
    <w:rsid w:val="0098373E"/>
    <w:rsid w:val="00983C8C"/>
    <w:rsid w:val="00984BA1"/>
    <w:rsid w:val="00985FA2"/>
    <w:rsid w:val="00986315"/>
    <w:rsid w:val="009872AF"/>
    <w:rsid w:val="00990D8F"/>
    <w:rsid w:val="00991798"/>
    <w:rsid w:val="009919C6"/>
    <w:rsid w:val="00991FAA"/>
    <w:rsid w:val="009926FF"/>
    <w:rsid w:val="0099329B"/>
    <w:rsid w:val="00993FCF"/>
    <w:rsid w:val="009943D8"/>
    <w:rsid w:val="00994E00"/>
    <w:rsid w:val="00995821"/>
    <w:rsid w:val="009962C4"/>
    <w:rsid w:val="00996477"/>
    <w:rsid w:val="00996556"/>
    <w:rsid w:val="00996B64"/>
    <w:rsid w:val="00996F9C"/>
    <w:rsid w:val="00997616"/>
    <w:rsid w:val="009A04E9"/>
    <w:rsid w:val="009A0707"/>
    <w:rsid w:val="009A2885"/>
    <w:rsid w:val="009A298D"/>
    <w:rsid w:val="009A29FF"/>
    <w:rsid w:val="009A2FC3"/>
    <w:rsid w:val="009A3D6B"/>
    <w:rsid w:val="009A3F11"/>
    <w:rsid w:val="009A4189"/>
    <w:rsid w:val="009A447A"/>
    <w:rsid w:val="009A4787"/>
    <w:rsid w:val="009A4A80"/>
    <w:rsid w:val="009A5214"/>
    <w:rsid w:val="009B00FC"/>
    <w:rsid w:val="009B1EA5"/>
    <w:rsid w:val="009B1EDE"/>
    <w:rsid w:val="009B23D7"/>
    <w:rsid w:val="009B25AC"/>
    <w:rsid w:val="009B2ADF"/>
    <w:rsid w:val="009B2C66"/>
    <w:rsid w:val="009B43AE"/>
    <w:rsid w:val="009B4693"/>
    <w:rsid w:val="009B46B0"/>
    <w:rsid w:val="009B486B"/>
    <w:rsid w:val="009B4971"/>
    <w:rsid w:val="009B60B1"/>
    <w:rsid w:val="009B60E7"/>
    <w:rsid w:val="009B6465"/>
    <w:rsid w:val="009B6B5F"/>
    <w:rsid w:val="009B70A8"/>
    <w:rsid w:val="009B7ABA"/>
    <w:rsid w:val="009C13B8"/>
    <w:rsid w:val="009C19AC"/>
    <w:rsid w:val="009C36F9"/>
    <w:rsid w:val="009C38C7"/>
    <w:rsid w:val="009C45A2"/>
    <w:rsid w:val="009C45CE"/>
    <w:rsid w:val="009C517B"/>
    <w:rsid w:val="009C5189"/>
    <w:rsid w:val="009C55DA"/>
    <w:rsid w:val="009C57DC"/>
    <w:rsid w:val="009C7219"/>
    <w:rsid w:val="009D0274"/>
    <w:rsid w:val="009D03EB"/>
    <w:rsid w:val="009D05E5"/>
    <w:rsid w:val="009D08B7"/>
    <w:rsid w:val="009D23C7"/>
    <w:rsid w:val="009D3D61"/>
    <w:rsid w:val="009D479F"/>
    <w:rsid w:val="009D5348"/>
    <w:rsid w:val="009D63FE"/>
    <w:rsid w:val="009D78A0"/>
    <w:rsid w:val="009E073F"/>
    <w:rsid w:val="009E0A7E"/>
    <w:rsid w:val="009E0AD5"/>
    <w:rsid w:val="009E0CAC"/>
    <w:rsid w:val="009E19FE"/>
    <w:rsid w:val="009E1C17"/>
    <w:rsid w:val="009E1E91"/>
    <w:rsid w:val="009E2CA3"/>
    <w:rsid w:val="009E3120"/>
    <w:rsid w:val="009E3BA6"/>
    <w:rsid w:val="009E3FEC"/>
    <w:rsid w:val="009E487A"/>
    <w:rsid w:val="009E5055"/>
    <w:rsid w:val="009E54B3"/>
    <w:rsid w:val="009E55C4"/>
    <w:rsid w:val="009E579C"/>
    <w:rsid w:val="009E6DB5"/>
    <w:rsid w:val="009E70E5"/>
    <w:rsid w:val="009E7FE5"/>
    <w:rsid w:val="009F00BB"/>
    <w:rsid w:val="009F05B5"/>
    <w:rsid w:val="009F086F"/>
    <w:rsid w:val="009F0997"/>
    <w:rsid w:val="009F0F0B"/>
    <w:rsid w:val="009F1033"/>
    <w:rsid w:val="009F1274"/>
    <w:rsid w:val="009F1428"/>
    <w:rsid w:val="009F171F"/>
    <w:rsid w:val="009F325A"/>
    <w:rsid w:val="009F329D"/>
    <w:rsid w:val="009F3B16"/>
    <w:rsid w:val="009F3E81"/>
    <w:rsid w:val="009F432B"/>
    <w:rsid w:val="009F5C6B"/>
    <w:rsid w:val="009F5EF1"/>
    <w:rsid w:val="009F6940"/>
    <w:rsid w:val="00A00AAB"/>
    <w:rsid w:val="00A0113C"/>
    <w:rsid w:val="00A014C4"/>
    <w:rsid w:val="00A0248C"/>
    <w:rsid w:val="00A03003"/>
    <w:rsid w:val="00A033DE"/>
    <w:rsid w:val="00A033E9"/>
    <w:rsid w:val="00A03C83"/>
    <w:rsid w:val="00A04134"/>
    <w:rsid w:val="00A04CC9"/>
    <w:rsid w:val="00A06093"/>
    <w:rsid w:val="00A0668F"/>
    <w:rsid w:val="00A07AAA"/>
    <w:rsid w:val="00A07AF4"/>
    <w:rsid w:val="00A107B1"/>
    <w:rsid w:val="00A10D5F"/>
    <w:rsid w:val="00A10D8D"/>
    <w:rsid w:val="00A115BF"/>
    <w:rsid w:val="00A11796"/>
    <w:rsid w:val="00A11A24"/>
    <w:rsid w:val="00A1274F"/>
    <w:rsid w:val="00A1275F"/>
    <w:rsid w:val="00A12ECB"/>
    <w:rsid w:val="00A13001"/>
    <w:rsid w:val="00A139F4"/>
    <w:rsid w:val="00A13C4C"/>
    <w:rsid w:val="00A14787"/>
    <w:rsid w:val="00A16572"/>
    <w:rsid w:val="00A16E21"/>
    <w:rsid w:val="00A16E88"/>
    <w:rsid w:val="00A203C5"/>
    <w:rsid w:val="00A20609"/>
    <w:rsid w:val="00A2107F"/>
    <w:rsid w:val="00A21950"/>
    <w:rsid w:val="00A22E26"/>
    <w:rsid w:val="00A236AE"/>
    <w:rsid w:val="00A238E8"/>
    <w:rsid w:val="00A23E08"/>
    <w:rsid w:val="00A24F82"/>
    <w:rsid w:val="00A2562B"/>
    <w:rsid w:val="00A25982"/>
    <w:rsid w:val="00A25AFE"/>
    <w:rsid w:val="00A265F0"/>
    <w:rsid w:val="00A26F7B"/>
    <w:rsid w:val="00A2769E"/>
    <w:rsid w:val="00A30386"/>
    <w:rsid w:val="00A30683"/>
    <w:rsid w:val="00A306D9"/>
    <w:rsid w:val="00A30B23"/>
    <w:rsid w:val="00A31296"/>
    <w:rsid w:val="00A31FF7"/>
    <w:rsid w:val="00A324B1"/>
    <w:rsid w:val="00A327F4"/>
    <w:rsid w:val="00A32956"/>
    <w:rsid w:val="00A32BE6"/>
    <w:rsid w:val="00A33B10"/>
    <w:rsid w:val="00A33B8F"/>
    <w:rsid w:val="00A34197"/>
    <w:rsid w:val="00A3518E"/>
    <w:rsid w:val="00A367AE"/>
    <w:rsid w:val="00A3692C"/>
    <w:rsid w:val="00A369FC"/>
    <w:rsid w:val="00A36EFC"/>
    <w:rsid w:val="00A41269"/>
    <w:rsid w:val="00A416E5"/>
    <w:rsid w:val="00A41743"/>
    <w:rsid w:val="00A41EA9"/>
    <w:rsid w:val="00A42273"/>
    <w:rsid w:val="00A42D94"/>
    <w:rsid w:val="00A430BB"/>
    <w:rsid w:val="00A430DE"/>
    <w:rsid w:val="00A438C9"/>
    <w:rsid w:val="00A456D4"/>
    <w:rsid w:val="00A45A9C"/>
    <w:rsid w:val="00A46E3F"/>
    <w:rsid w:val="00A47D29"/>
    <w:rsid w:val="00A47F0E"/>
    <w:rsid w:val="00A50B8E"/>
    <w:rsid w:val="00A5139D"/>
    <w:rsid w:val="00A52F1F"/>
    <w:rsid w:val="00A531B8"/>
    <w:rsid w:val="00A532D4"/>
    <w:rsid w:val="00A53601"/>
    <w:rsid w:val="00A53732"/>
    <w:rsid w:val="00A54270"/>
    <w:rsid w:val="00A545AF"/>
    <w:rsid w:val="00A54D58"/>
    <w:rsid w:val="00A56625"/>
    <w:rsid w:val="00A56962"/>
    <w:rsid w:val="00A57B16"/>
    <w:rsid w:val="00A61429"/>
    <w:rsid w:val="00A61485"/>
    <w:rsid w:val="00A622CA"/>
    <w:rsid w:val="00A63401"/>
    <w:rsid w:val="00A6356C"/>
    <w:rsid w:val="00A64708"/>
    <w:rsid w:val="00A64789"/>
    <w:rsid w:val="00A64AA8"/>
    <w:rsid w:val="00A65B7A"/>
    <w:rsid w:val="00A66318"/>
    <w:rsid w:val="00A67BBE"/>
    <w:rsid w:val="00A71176"/>
    <w:rsid w:val="00A7125B"/>
    <w:rsid w:val="00A71E54"/>
    <w:rsid w:val="00A71ECB"/>
    <w:rsid w:val="00A734EE"/>
    <w:rsid w:val="00A73A77"/>
    <w:rsid w:val="00A7495E"/>
    <w:rsid w:val="00A75774"/>
    <w:rsid w:val="00A7579C"/>
    <w:rsid w:val="00A75A08"/>
    <w:rsid w:val="00A76D6A"/>
    <w:rsid w:val="00A8011D"/>
    <w:rsid w:val="00A80EC4"/>
    <w:rsid w:val="00A8143D"/>
    <w:rsid w:val="00A8187C"/>
    <w:rsid w:val="00A8264F"/>
    <w:rsid w:val="00A828BF"/>
    <w:rsid w:val="00A82A77"/>
    <w:rsid w:val="00A82E81"/>
    <w:rsid w:val="00A835C6"/>
    <w:rsid w:val="00A83B18"/>
    <w:rsid w:val="00A83CB2"/>
    <w:rsid w:val="00A84145"/>
    <w:rsid w:val="00A84815"/>
    <w:rsid w:val="00A84822"/>
    <w:rsid w:val="00A84B31"/>
    <w:rsid w:val="00A84C52"/>
    <w:rsid w:val="00A84D70"/>
    <w:rsid w:val="00A84E5B"/>
    <w:rsid w:val="00A85275"/>
    <w:rsid w:val="00A855FD"/>
    <w:rsid w:val="00A86206"/>
    <w:rsid w:val="00A8630B"/>
    <w:rsid w:val="00A86EEF"/>
    <w:rsid w:val="00A8764E"/>
    <w:rsid w:val="00A87EBF"/>
    <w:rsid w:val="00A87ED6"/>
    <w:rsid w:val="00A90742"/>
    <w:rsid w:val="00A910AC"/>
    <w:rsid w:val="00A9197B"/>
    <w:rsid w:val="00A92443"/>
    <w:rsid w:val="00A92ABA"/>
    <w:rsid w:val="00A94F08"/>
    <w:rsid w:val="00A95EA9"/>
    <w:rsid w:val="00A95EC2"/>
    <w:rsid w:val="00A96920"/>
    <w:rsid w:val="00A972B9"/>
    <w:rsid w:val="00A97584"/>
    <w:rsid w:val="00A97B33"/>
    <w:rsid w:val="00A97E7F"/>
    <w:rsid w:val="00AA1D08"/>
    <w:rsid w:val="00AA1D8D"/>
    <w:rsid w:val="00AA20FD"/>
    <w:rsid w:val="00AA27FF"/>
    <w:rsid w:val="00AA2E2A"/>
    <w:rsid w:val="00AA2EDE"/>
    <w:rsid w:val="00AA3018"/>
    <w:rsid w:val="00AA31FF"/>
    <w:rsid w:val="00AA35E5"/>
    <w:rsid w:val="00AA45C3"/>
    <w:rsid w:val="00AA4D44"/>
    <w:rsid w:val="00AA4F33"/>
    <w:rsid w:val="00AA58F2"/>
    <w:rsid w:val="00AA5AF8"/>
    <w:rsid w:val="00AA720C"/>
    <w:rsid w:val="00AA7513"/>
    <w:rsid w:val="00AA7753"/>
    <w:rsid w:val="00AA7B51"/>
    <w:rsid w:val="00AA7D85"/>
    <w:rsid w:val="00AB1AB1"/>
    <w:rsid w:val="00AB1ADC"/>
    <w:rsid w:val="00AB1CFB"/>
    <w:rsid w:val="00AB2CF4"/>
    <w:rsid w:val="00AB4B4D"/>
    <w:rsid w:val="00AB4CB6"/>
    <w:rsid w:val="00AB521F"/>
    <w:rsid w:val="00AB5884"/>
    <w:rsid w:val="00AB6A3A"/>
    <w:rsid w:val="00AB7A10"/>
    <w:rsid w:val="00AB7AFA"/>
    <w:rsid w:val="00AC0010"/>
    <w:rsid w:val="00AC020B"/>
    <w:rsid w:val="00AC0DF5"/>
    <w:rsid w:val="00AC1751"/>
    <w:rsid w:val="00AC190A"/>
    <w:rsid w:val="00AC1AAA"/>
    <w:rsid w:val="00AC2DC9"/>
    <w:rsid w:val="00AC3417"/>
    <w:rsid w:val="00AC5836"/>
    <w:rsid w:val="00AC5EA4"/>
    <w:rsid w:val="00AC5F3F"/>
    <w:rsid w:val="00AC768E"/>
    <w:rsid w:val="00AC7DA3"/>
    <w:rsid w:val="00AD0764"/>
    <w:rsid w:val="00AD077D"/>
    <w:rsid w:val="00AD11B5"/>
    <w:rsid w:val="00AD1F8C"/>
    <w:rsid w:val="00AD32B4"/>
    <w:rsid w:val="00AD3E52"/>
    <w:rsid w:val="00AD4B65"/>
    <w:rsid w:val="00AD4BA8"/>
    <w:rsid w:val="00AD5A73"/>
    <w:rsid w:val="00AD5DAD"/>
    <w:rsid w:val="00AD60B1"/>
    <w:rsid w:val="00AD6380"/>
    <w:rsid w:val="00AD64D2"/>
    <w:rsid w:val="00AD6849"/>
    <w:rsid w:val="00AD6A1F"/>
    <w:rsid w:val="00AD6A6D"/>
    <w:rsid w:val="00AD6C5C"/>
    <w:rsid w:val="00AD6F92"/>
    <w:rsid w:val="00AD7621"/>
    <w:rsid w:val="00AD7BF1"/>
    <w:rsid w:val="00AE081D"/>
    <w:rsid w:val="00AE100B"/>
    <w:rsid w:val="00AE23F8"/>
    <w:rsid w:val="00AE27A2"/>
    <w:rsid w:val="00AE30D0"/>
    <w:rsid w:val="00AE315A"/>
    <w:rsid w:val="00AE38CD"/>
    <w:rsid w:val="00AE3CCF"/>
    <w:rsid w:val="00AE432E"/>
    <w:rsid w:val="00AE433B"/>
    <w:rsid w:val="00AE47B8"/>
    <w:rsid w:val="00AE4D04"/>
    <w:rsid w:val="00AE4F39"/>
    <w:rsid w:val="00AE5266"/>
    <w:rsid w:val="00AE6309"/>
    <w:rsid w:val="00AE6801"/>
    <w:rsid w:val="00AE6B75"/>
    <w:rsid w:val="00AE758C"/>
    <w:rsid w:val="00AE7BF7"/>
    <w:rsid w:val="00AE7CBB"/>
    <w:rsid w:val="00AF0862"/>
    <w:rsid w:val="00AF0B65"/>
    <w:rsid w:val="00AF148E"/>
    <w:rsid w:val="00AF2774"/>
    <w:rsid w:val="00AF303D"/>
    <w:rsid w:val="00AF39CC"/>
    <w:rsid w:val="00AF3A49"/>
    <w:rsid w:val="00AF3D69"/>
    <w:rsid w:val="00AF4013"/>
    <w:rsid w:val="00AF4749"/>
    <w:rsid w:val="00AF4A35"/>
    <w:rsid w:val="00AF4AF4"/>
    <w:rsid w:val="00AF53AE"/>
    <w:rsid w:val="00AF5576"/>
    <w:rsid w:val="00AF5787"/>
    <w:rsid w:val="00AF5916"/>
    <w:rsid w:val="00AF6DA5"/>
    <w:rsid w:val="00B001EB"/>
    <w:rsid w:val="00B00EB9"/>
    <w:rsid w:val="00B01EC9"/>
    <w:rsid w:val="00B02A51"/>
    <w:rsid w:val="00B02EBA"/>
    <w:rsid w:val="00B02F05"/>
    <w:rsid w:val="00B0390F"/>
    <w:rsid w:val="00B03CBC"/>
    <w:rsid w:val="00B04ADE"/>
    <w:rsid w:val="00B04E5B"/>
    <w:rsid w:val="00B05681"/>
    <w:rsid w:val="00B056E3"/>
    <w:rsid w:val="00B05905"/>
    <w:rsid w:val="00B06229"/>
    <w:rsid w:val="00B06696"/>
    <w:rsid w:val="00B06DC2"/>
    <w:rsid w:val="00B06DFE"/>
    <w:rsid w:val="00B07916"/>
    <w:rsid w:val="00B07D79"/>
    <w:rsid w:val="00B10873"/>
    <w:rsid w:val="00B1115C"/>
    <w:rsid w:val="00B11218"/>
    <w:rsid w:val="00B11320"/>
    <w:rsid w:val="00B12119"/>
    <w:rsid w:val="00B1235D"/>
    <w:rsid w:val="00B13E76"/>
    <w:rsid w:val="00B1496E"/>
    <w:rsid w:val="00B14C4A"/>
    <w:rsid w:val="00B15EEF"/>
    <w:rsid w:val="00B166A1"/>
    <w:rsid w:val="00B167DC"/>
    <w:rsid w:val="00B1695F"/>
    <w:rsid w:val="00B16A9A"/>
    <w:rsid w:val="00B16CB3"/>
    <w:rsid w:val="00B1720F"/>
    <w:rsid w:val="00B17607"/>
    <w:rsid w:val="00B201BB"/>
    <w:rsid w:val="00B2048B"/>
    <w:rsid w:val="00B20CF6"/>
    <w:rsid w:val="00B21657"/>
    <w:rsid w:val="00B218CA"/>
    <w:rsid w:val="00B21AD4"/>
    <w:rsid w:val="00B22237"/>
    <w:rsid w:val="00B22CC2"/>
    <w:rsid w:val="00B22DBB"/>
    <w:rsid w:val="00B2303C"/>
    <w:rsid w:val="00B23156"/>
    <w:rsid w:val="00B239E8"/>
    <w:rsid w:val="00B24035"/>
    <w:rsid w:val="00B24731"/>
    <w:rsid w:val="00B2487D"/>
    <w:rsid w:val="00B24A42"/>
    <w:rsid w:val="00B25A31"/>
    <w:rsid w:val="00B25DA0"/>
    <w:rsid w:val="00B260EC"/>
    <w:rsid w:val="00B264C0"/>
    <w:rsid w:val="00B270AB"/>
    <w:rsid w:val="00B2745C"/>
    <w:rsid w:val="00B275D1"/>
    <w:rsid w:val="00B31134"/>
    <w:rsid w:val="00B314F7"/>
    <w:rsid w:val="00B31B4F"/>
    <w:rsid w:val="00B3263B"/>
    <w:rsid w:val="00B32CB2"/>
    <w:rsid w:val="00B33215"/>
    <w:rsid w:val="00B33F65"/>
    <w:rsid w:val="00B34623"/>
    <w:rsid w:val="00B353C8"/>
    <w:rsid w:val="00B37CD2"/>
    <w:rsid w:val="00B4055C"/>
    <w:rsid w:val="00B406A2"/>
    <w:rsid w:val="00B41A1B"/>
    <w:rsid w:val="00B4212B"/>
    <w:rsid w:val="00B421B5"/>
    <w:rsid w:val="00B42217"/>
    <w:rsid w:val="00B426F4"/>
    <w:rsid w:val="00B43153"/>
    <w:rsid w:val="00B43197"/>
    <w:rsid w:val="00B4374E"/>
    <w:rsid w:val="00B443C3"/>
    <w:rsid w:val="00B444A7"/>
    <w:rsid w:val="00B44A24"/>
    <w:rsid w:val="00B44EE2"/>
    <w:rsid w:val="00B45AFB"/>
    <w:rsid w:val="00B45EEC"/>
    <w:rsid w:val="00B46072"/>
    <w:rsid w:val="00B4611F"/>
    <w:rsid w:val="00B46492"/>
    <w:rsid w:val="00B46777"/>
    <w:rsid w:val="00B46DDE"/>
    <w:rsid w:val="00B46ED7"/>
    <w:rsid w:val="00B471F2"/>
    <w:rsid w:val="00B476BD"/>
    <w:rsid w:val="00B47730"/>
    <w:rsid w:val="00B501E9"/>
    <w:rsid w:val="00B50958"/>
    <w:rsid w:val="00B51327"/>
    <w:rsid w:val="00B514B5"/>
    <w:rsid w:val="00B51B08"/>
    <w:rsid w:val="00B52318"/>
    <w:rsid w:val="00B52BF6"/>
    <w:rsid w:val="00B53BD8"/>
    <w:rsid w:val="00B53CF5"/>
    <w:rsid w:val="00B54961"/>
    <w:rsid w:val="00B549EC"/>
    <w:rsid w:val="00B55440"/>
    <w:rsid w:val="00B559F9"/>
    <w:rsid w:val="00B57615"/>
    <w:rsid w:val="00B57897"/>
    <w:rsid w:val="00B57FB1"/>
    <w:rsid w:val="00B614F8"/>
    <w:rsid w:val="00B6217B"/>
    <w:rsid w:val="00B621EA"/>
    <w:rsid w:val="00B62C41"/>
    <w:rsid w:val="00B6321D"/>
    <w:rsid w:val="00B635F6"/>
    <w:rsid w:val="00B64656"/>
    <w:rsid w:val="00B64916"/>
    <w:rsid w:val="00B64AAD"/>
    <w:rsid w:val="00B64D10"/>
    <w:rsid w:val="00B670F1"/>
    <w:rsid w:val="00B671FD"/>
    <w:rsid w:val="00B6735B"/>
    <w:rsid w:val="00B67DEA"/>
    <w:rsid w:val="00B70916"/>
    <w:rsid w:val="00B70F75"/>
    <w:rsid w:val="00B71423"/>
    <w:rsid w:val="00B71633"/>
    <w:rsid w:val="00B718D1"/>
    <w:rsid w:val="00B7211A"/>
    <w:rsid w:val="00B72700"/>
    <w:rsid w:val="00B7276C"/>
    <w:rsid w:val="00B737BE"/>
    <w:rsid w:val="00B73802"/>
    <w:rsid w:val="00B73BA2"/>
    <w:rsid w:val="00B73E19"/>
    <w:rsid w:val="00B73E6D"/>
    <w:rsid w:val="00B73E7B"/>
    <w:rsid w:val="00B742D4"/>
    <w:rsid w:val="00B74480"/>
    <w:rsid w:val="00B754A3"/>
    <w:rsid w:val="00B75CB3"/>
    <w:rsid w:val="00B75EFA"/>
    <w:rsid w:val="00B7620F"/>
    <w:rsid w:val="00B766D7"/>
    <w:rsid w:val="00B8123B"/>
    <w:rsid w:val="00B8155F"/>
    <w:rsid w:val="00B81B13"/>
    <w:rsid w:val="00B81BBE"/>
    <w:rsid w:val="00B8249C"/>
    <w:rsid w:val="00B8278E"/>
    <w:rsid w:val="00B8315B"/>
    <w:rsid w:val="00B83A14"/>
    <w:rsid w:val="00B865E5"/>
    <w:rsid w:val="00B87FA8"/>
    <w:rsid w:val="00B90B88"/>
    <w:rsid w:val="00B91B19"/>
    <w:rsid w:val="00B91F26"/>
    <w:rsid w:val="00B92325"/>
    <w:rsid w:val="00B926E6"/>
    <w:rsid w:val="00B926F1"/>
    <w:rsid w:val="00B929E4"/>
    <w:rsid w:val="00B92CA1"/>
    <w:rsid w:val="00B9346B"/>
    <w:rsid w:val="00B93C8F"/>
    <w:rsid w:val="00B93D93"/>
    <w:rsid w:val="00B9436F"/>
    <w:rsid w:val="00B945DD"/>
    <w:rsid w:val="00B94B5C"/>
    <w:rsid w:val="00B94F02"/>
    <w:rsid w:val="00B95963"/>
    <w:rsid w:val="00B95BAD"/>
    <w:rsid w:val="00B95BFD"/>
    <w:rsid w:val="00B95D5E"/>
    <w:rsid w:val="00B960BD"/>
    <w:rsid w:val="00BA03F0"/>
    <w:rsid w:val="00BA1198"/>
    <w:rsid w:val="00BA1283"/>
    <w:rsid w:val="00BA1373"/>
    <w:rsid w:val="00BA1B47"/>
    <w:rsid w:val="00BA1B6C"/>
    <w:rsid w:val="00BA1C52"/>
    <w:rsid w:val="00BA226D"/>
    <w:rsid w:val="00BA25D4"/>
    <w:rsid w:val="00BA303E"/>
    <w:rsid w:val="00BA32DF"/>
    <w:rsid w:val="00BA338B"/>
    <w:rsid w:val="00BA3AF5"/>
    <w:rsid w:val="00BA3B50"/>
    <w:rsid w:val="00BA3C1B"/>
    <w:rsid w:val="00BA3E50"/>
    <w:rsid w:val="00BA404F"/>
    <w:rsid w:val="00BA461D"/>
    <w:rsid w:val="00BA46A0"/>
    <w:rsid w:val="00BA4E5B"/>
    <w:rsid w:val="00BA50BA"/>
    <w:rsid w:val="00BA557D"/>
    <w:rsid w:val="00BA60D7"/>
    <w:rsid w:val="00BA6786"/>
    <w:rsid w:val="00BA784C"/>
    <w:rsid w:val="00BB0BFB"/>
    <w:rsid w:val="00BB1183"/>
    <w:rsid w:val="00BB1591"/>
    <w:rsid w:val="00BB2026"/>
    <w:rsid w:val="00BB28FF"/>
    <w:rsid w:val="00BB2AED"/>
    <w:rsid w:val="00BB2EFF"/>
    <w:rsid w:val="00BB39E9"/>
    <w:rsid w:val="00BB3D19"/>
    <w:rsid w:val="00BB60BA"/>
    <w:rsid w:val="00BB63A5"/>
    <w:rsid w:val="00BB659F"/>
    <w:rsid w:val="00BB676F"/>
    <w:rsid w:val="00BB7236"/>
    <w:rsid w:val="00BC01DA"/>
    <w:rsid w:val="00BC0662"/>
    <w:rsid w:val="00BC1757"/>
    <w:rsid w:val="00BC1832"/>
    <w:rsid w:val="00BC1C72"/>
    <w:rsid w:val="00BC1D1E"/>
    <w:rsid w:val="00BC2367"/>
    <w:rsid w:val="00BC2D9E"/>
    <w:rsid w:val="00BC35E5"/>
    <w:rsid w:val="00BC3F56"/>
    <w:rsid w:val="00BC46D5"/>
    <w:rsid w:val="00BC4A2A"/>
    <w:rsid w:val="00BC4CC5"/>
    <w:rsid w:val="00BC500B"/>
    <w:rsid w:val="00BC5615"/>
    <w:rsid w:val="00BC5868"/>
    <w:rsid w:val="00BC587B"/>
    <w:rsid w:val="00BC6156"/>
    <w:rsid w:val="00BC6282"/>
    <w:rsid w:val="00BC6ACE"/>
    <w:rsid w:val="00BC7147"/>
    <w:rsid w:val="00BC769E"/>
    <w:rsid w:val="00BC793D"/>
    <w:rsid w:val="00BC7E40"/>
    <w:rsid w:val="00BD0CC4"/>
    <w:rsid w:val="00BD0FDC"/>
    <w:rsid w:val="00BD169F"/>
    <w:rsid w:val="00BD1FCD"/>
    <w:rsid w:val="00BD25C0"/>
    <w:rsid w:val="00BD276A"/>
    <w:rsid w:val="00BD2CC4"/>
    <w:rsid w:val="00BD312B"/>
    <w:rsid w:val="00BD3DFC"/>
    <w:rsid w:val="00BD3EB7"/>
    <w:rsid w:val="00BD4B9B"/>
    <w:rsid w:val="00BD4EC8"/>
    <w:rsid w:val="00BD4F04"/>
    <w:rsid w:val="00BD54F9"/>
    <w:rsid w:val="00BD5750"/>
    <w:rsid w:val="00BD61A3"/>
    <w:rsid w:val="00BD670F"/>
    <w:rsid w:val="00BD6D4B"/>
    <w:rsid w:val="00BD6E4E"/>
    <w:rsid w:val="00BD734C"/>
    <w:rsid w:val="00BD7694"/>
    <w:rsid w:val="00BD7B26"/>
    <w:rsid w:val="00BE05F1"/>
    <w:rsid w:val="00BE08F6"/>
    <w:rsid w:val="00BE0A7F"/>
    <w:rsid w:val="00BE145A"/>
    <w:rsid w:val="00BE1773"/>
    <w:rsid w:val="00BE297F"/>
    <w:rsid w:val="00BE2DD1"/>
    <w:rsid w:val="00BE347A"/>
    <w:rsid w:val="00BE3AE5"/>
    <w:rsid w:val="00BE3BBD"/>
    <w:rsid w:val="00BE40FD"/>
    <w:rsid w:val="00BE4615"/>
    <w:rsid w:val="00BE4CFC"/>
    <w:rsid w:val="00BE5C54"/>
    <w:rsid w:val="00BE5FFF"/>
    <w:rsid w:val="00BE6256"/>
    <w:rsid w:val="00BE699A"/>
    <w:rsid w:val="00BE6B2A"/>
    <w:rsid w:val="00BE7F56"/>
    <w:rsid w:val="00BF0292"/>
    <w:rsid w:val="00BF02DA"/>
    <w:rsid w:val="00BF03DC"/>
    <w:rsid w:val="00BF070D"/>
    <w:rsid w:val="00BF230E"/>
    <w:rsid w:val="00BF282A"/>
    <w:rsid w:val="00BF2A73"/>
    <w:rsid w:val="00BF2E74"/>
    <w:rsid w:val="00BF3024"/>
    <w:rsid w:val="00BF30C4"/>
    <w:rsid w:val="00BF35A1"/>
    <w:rsid w:val="00BF35E6"/>
    <w:rsid w:val="00BF3605"/>
    <w:rsid w:val="00BF3A66"/>
    <w:rsid w:val="00BF3D96"/>
    <w:rsid w:val="00BF3DA5"/>
    <w:rsid w:val="00BF41F5"/>
    <w:rsid w:val="00BF4A7A"/>
    <w:rsid w:val="00BF4B36"/>
    <w:rsid w:val="00BF4F14"/>
    <w:rsid w:val="00BF53ED"/>
    <w:rsid w:val="00BF5870"/>
    <w:rsid w:val="00BF65BF"/>
    <w:rsid w:val="00BF75DC"/>
    <w:rsid w:val="00BF77C8"/>
    <w:rsid w:val="00C015FC"/>
    <w:rsid w:val="00C01674"/>
    <w:rsid w:val="00C01FD7"/>
    <w:rsid w:val="00C02966"/>
    <w:rsid w:val="00C03083"/>
    <w:rsid w:val="00C0322E"/>
    <w:rsid w:val="00C0377D"/>
    <w:rsid w:val="00C06138"/>
    <w:rsid w:val="00C06283"/>
    <w:rsid w:val="00C062B4"/>
    <w:rsid w:val="00C064D6"/>
    <w:rsid w:val="00C06A8E"/>
    <w:rsid w:val="00C073C1"/>
    <w:rsid w:val="00C07E4D"/>
    <w:rsid w:val="00C07FE7"/>
    <w:rsid w:val="00C10F0E"/>
    <w:rsid w:val="00C1102D"/>
    <w:rsid w:val="00C114AE"/>
    <w:rsid w:val="00C117CF"/>
    <w:rsid w:val="00C11818"/>
    <w:rsid w:val="00C118CD"/>
    <w:rsid w:val="00C11981"/>
    <w:rsid w:val="00C11D01"/>
    <w:rsid w:val="00C1218D"/>
    <w:rsid w:val="00C12230"/>
    <w:rsid w:val="00C145DE"/>
    <w:rsid w:val="00C146E2"/>
    <w:rsid w:val="00C15007"/>
    <w:rsid w:val="00C156ED"/>
    <w:rsid w:val="00C16210"/>
    <w:rsid w:val="00C16727"/>
    <w:rsid w:val="00C20AF2"/>
    <w:rsid w:val="00C20D69"/>
    <w:rsid w:val="00C213AE"/>
    <w:rsid w:val="00C22F4C"/>
    <w:rsid w:val="00C23807"/>
    <w:rsid w:val="00C2399D"/>
    <w:rsid w:val="00C23BDB"/>
    <w:rsid w:val="00C23E40"/>
    <w:rsid w:val="00C251B7"/>
    <w:rsid w:val="00C252D3"/>
    <w:rsid w:val="00C2574A"/>
    <w:rsid w:val="00C26478"/>
    <w:rsid w:val="00C27F4F"/>
    <w:rsid w:val="00C301A3"/>
    <w:rsid w:val="00C313F1"/>
    <w:rsid w:val="00C32306"/>
    <w:rsid w:val="00C32C74"/>
    <w:rsid w:val="00C33C45"/>
    <w:rsid w:val="00C34D4B"/>
    <w:rsid w:val="00C35AD2"/>
    <w:rsid w:val="00C368F7"/>
    <w:rsid w:val="00C40A43"/>
    <w:rsid w:val="00C4103E"/>
    <w:rsid w:val="00C4174C"/>
    <w:rsid w:val="00C4238B"/>
    <w:rsid w:val="00C42BC0"/>
    <w:rsid w:val="00C42C82"/>
    <w:rsid w:val="00C4321F"/>
    <w:rsid w:val="00C433D7"/>
    <w:rsid w:val="00C43A0F"/>
    <w:rsid w:val="00C44800"/>
    <w:rsid w:val="00C44B9D"/>
    <w:rsid w:val="00C44E05"/>
    <w:rsid w:val="00C4537F"/>
    <w:rsid w:val="00C4586F"/>
    <w:rsid w:val="00C45CBD"/>
    <w:rsid w:val="00C45E31"/>
    <w:rsid w:val="00C47883"/>
    <w:rsid w:val="00C47BD7"/>
    <w:rsid w:val="00C47E73"/>
    <w:rsid w:val="00C509EE"/>
    <w:rsid w:val="00C50C97"/>
    <w:rsid w:val="00C51914"/>
    <w:rsid w:val="00C51934"/>
    <w:rsid w:val="00C51A32"/>
    <w:rsid w:val="00C51CAF"/>
    <w:rsid w:val="00C52057"/>
    <w:rsid w:val="00C5340F"/>
    <w:rsid w:val="00C53A9A"/>
    <w:rsid w:val="00C53B02"/>
    <w:rsid w:val="00C5473A"/>
    <w:rsid w:val="00C555C8"/>
    <w:rsid w:val="00C56158"/>
    <w:rsid w:val="00C566E0"/>
    <w:rsid w:val="00C56B8F"/>
    <w:rsid w:val="00C56D50"/>
    <w:rsid w:val="00C57FB4"/>
    <w:rsid w:val="00C61A93"/>
    <w:rsid w:val="00C6203F"/>
    <w:rsid w:val="00C62A27"/>
    <w:rsid w:val="00C62A38"/>
    <w:rsid w:val="00C635B5"/>
    <w:rsid w:val="00C63AC3"/>
    <w:rsid w:val="00C64B8C"/>
    <w:rsid w:val="00C64B90"/>
    <w:rsid w:val="00C66648"/>
    <w:rsid w:val="00C66870"/>
    <w:rsid w:val="00C674D6"/>
    <w:rsid w:val="00C67590"/>
    <w:rsid w:val="00C678C8"/>
    <w:rsid w:val="00C67A17"/>
    <w:rsid w:val="00C67F2A"/>
    <w:rsid w:val="00C708CF"/>
    <w:rsid w:val="00C70903"/>
    <w:rsid w:val="00C71278"/>
    <w:rsid w:val="00C71D97"/>
    <w:rsid w:val="00C72B66"/>
    <w:rsid w:val="00C72C42"/>
    <w:rsid w:val="00C72D24"/>
    <w:rsid w:val="00C72EB7"/>
    <w:rsid w:val="00C736AA"/>
    <w:rsid w:val="00C73F4E"/>
    <w:rsid w:val="00C75B61"/>
    <w:rsid w:val="00C764AD"/>
    <w:rsid w:val="00C76587"/>
    <w:rsid w:val="00C76696"/>
    <w:rsid w:val="00C7691D"/>
    <w:rsid w:val="00C76D05"/>
    <w:rsid w:val="00C76ED8"/>
    <w:rsid w:val="00C776CF"/>
    <w:rsid w:val="00C77AF6"/>
    <w:rsid w:val="00C80B57"/>
    <w:rsid w:val="00C80E44"/>
    <w:rsid w:val="00C814D8"/>
    <w:rsid w:val="00C81524"/>
    <w:rsid w:val="00C822E3"/>
    <w:rsid w:val="00C82FAA"/>
    <w:rsid w:val="00C83E6D"/>
    <w:rsid w:val="00C841A5"/>
    <w:rsid w:val="00C850EF"/>
    <w:rsid w:val="00C852AF"/>
    <w:rsid w:val="00C8559E"/>
    <w:rsid w:val="00C85D86"/>
    <w:rsid w:val="00C85FEC"/>
    <w:rsid w:val="00C86C0C"/>
    <w:rsid w:val="00C87504"/>
    <w:rsid w:val="00C8773E"/>
    <w:rsid w:val="00C90604"/>
    <w:rsid w:val="00C909D6"/>
    <w:rsid w:val="00C90A6D"/>
    <w:rsid w:val="00C91295"/>
    <w:rsid w:val="00C91BAE"/>
    <w:rsid w:val="00C91BFF"/>
    <w:rsid w:val="00C91D2C"/>
    <w:rsid w:val="00C91D3D"/>
    <w:rsid w:val="00C93863"/>
    <w:rsid w:val="00C93D25"/>
    <w:rsid w:val="00C9410C"/>
    <w:rsid w:val="00C944A8"/>
    <w:rsid w:val="00C944E6"/>
    <w:rsid w:val="00C946AD"/>
    <w:rsid w:val="00C94A30"/>
    <w:rsid w:val="00C94B48"/>
    <w:rsid w:val="00C94EDA"/>
    <w:rsid w:val="00C9542A"/>
    <w:rsid w:val="00C958F8"/>
    <w:rsid w:val="00C95AE3"/>
    <w:rsid w:val="00C95F43"/>
    <w:rsid w:val="00C96078"/>
    <w:rsid w:val="00C978BC"/>
    <w:rsid w:val="00C97D27"/>
    <w:rsid w:val="00CA0A74"/>
    <w:rsid w:val="00CA1F94"/>
    <w:rsid w:val="00CA223F"/>
    <w:rsid w:val="00CA29AF"/>
    <w:rsid w:val="00CA3C34"/>
    <w:rsid w:val="00CA4142"/>
    <w:rsid w:val="00CA5FE6"/>
    <w:rsid w:val="00CA6A05"/>
    <w:rsid w:val="00CA6E4C"/>
    <w:rsid w:val="00CA719E"/>
    <w:rsid w:val="00CA77B9"/>
    <w:rsid w:val="00CB05E3"/>
    <w:rsid w:val="00CB0664"/>
    <w:rsid w:val="00CB07C9"/>
    <w:rsid w:val="00CB0963"/>
    <w:rsid w:val="00CB171D"/>
    <w:rsid w:val="00CB198C"/>
    <w:rsid w:val="00CB23E1"/>
    <w:rsid w:val="00CB2B82"/>
    <w:rsid w:val="00CB2BC2"/>
    <w:rsid w:val="00CB333A"/>
    <w:rsid w:val="00CB34E4"/>
    <w:rsid w:val="00CB3730"/>
    <w:rsid w:val="00CB3DE1"/>
    <w:rsid w:val="00CB3E15"/>
    <w:rsid w:val="00CB4E99"/>
    <w:rsid w:val="00CB53E2"/>
    <w:rsid w:val="00CB5AA8"/>
    <w:rsid w:val="00CB5C46"/>
    <w:rsid w:val="00CB5F56"/>
    <w:rsid w:val="00CB5FE8"/>
    <w:rsid w:val="00CB66ED"/>
    <w:rsid w:val="00CB6845"/>
    <w:rsid w:val="00CB7AC8"/>
    <w:rsid w:val="00CB7EF2"/>
    <w:rsid w:val="00CC02FE"/>
    <w:rsid w:val="00CC03DB"/>
    <w:rsid w:val="00CC087C"/>
    <w:rsid w:val="00CC1769"/>
    <w:rsid w:val="00CC19C4"/>
    <w:rsid w:val="00CC1E2C"/>
    <w:rsid w:val="00CC1FF0"/>
    <w:rsid w:val="00CC3038"/>
    <w:rsid w:val="00CC311B"/>
    <w:rsid w:val="00CC31D9"/>
    <w:rsid w:val="00CC42A2"/>
    <w:rsid w:val="00CC46E0"/>
    <w:rsid w:val="00CC623C"/>
    <w:rsid w:val="00CC6945"/>
    <w:rsid w:val="00CC757B"/>
    <w:rsid w:val="00CD0615"/>
    <w:rsid w:val="00CD0EC5"/>
    <w:rsid w:val="00CD109E"/>
    <w:rsid w:val="00CD11E2"/>
    <w:rsid w:val="00CD14AC"/>
    <w:rsid w:val="00CD1765"/>
    <w:rsid w:val="00CD1DAD"/>
    <w:rsid w:val="00CD1EE6"/>
    <w:rsid w:val="00CD243D"/>
    <w:rsid w:val="00CD2716"/>
    <w:rsid w:val="00CD3B66"/>
    <w:rsid w:val="00CD40A9"/>
    <w:rsid w:val="00CD509E"/>
    <w:rsid w:val="00CD5AF7"/>
    <w:rsid w:val="00CD5BE3"/>
    <w:rsid w:val="00CD63D5"/>
    <w:rsid w:val="00CD6913"/>
    <w:rsid w:val="00CE0402"/>
    <w:rsid w:val="00CE0BE8"/>
    <w:rsid w:val="00CE0E6D"/>
    <w:rsid w:val="00CE1744"/>
    <w:rsid w:val="00CE1B8E"/>
    <w:rsid w:val="00CE2661"/>
    <w:rsid w:val="00CE2E1C"/>
    <w:rsid w:val="00CE31D9"/>
    <w:rsid w:val="00CE32BC"/>
    <w:rsid w:val="00CE53BC"/>
    <w:rsid w:val="00CE7822"/>
    <w:rsid w:val="00CF12D0"/>
    <w:rsid w:val="00CF1CC1"/>
    <w:rsid w:val="00CF2738"/>
    <w:rsid w:val="00CF2AB9"/>
    <w:rsid w:val="00CF4068"/>
    <w:rsid w:val="00CF4371"/>
    <w:rsid w:val="00CF43D4"/>
    <w:rsid w:val="00CF4813"/>
    <w:rsid w:val="00CF5360"/>
    <w:rsid w:val="00CF57B0"/>
    <w:rsid w:val="00CF5849"/>
    <w:rsid w:val="00CF5BE9"/>
    <w:rsid w:val="00CF6317"/>
    <w:rsid w:val="00CF6326"/>
    <w:rsid w:val="00CF6D07"/>
    <w:rsid w:val="00CF72BA"/>
    <w:rsid w:val="00CF7A96"/>
    <w:rsid w:val="00D00794"/>
    <w:rsid w:val="00D011DA"/>
    <w:rsid w:val="00D012CB"/>
    <w:rsid w:val="00D01F6F"/>
    <w:rsid w:val="00D02B00"/>
    <w:rsid w:val="00D02D97"/>
    <w:rsid w:val="00D0331C"/>
    <w:rsid w:val="00D036EF"/>
    <w:rsid w:val="00D04081"/>
    <w:rsid w:val="00D043C9"/>
    <w:rsid w:val="00D04E92"/>
    <w:rsid w:val="00D065F7"/>
    <w:rsid w:val="00D06E7C"/>
    <w:rsid w:val="00D074AD"/>
    <w:rsid w:val="00D07604"/>
    <w:rsid w:val="00D07C73"/>
    <w:rsid w:val="00D10642"/>
    <w:rsid w:val="00D107A0"/>
    <w:rsid w:val="00D125A2"/>
    <w:rsid w:val="00D12C1A"/>
    <w:rsid w:val="00D1309E"/>
    <w:rsid w:val="00D1316B"/>
    <w:rsid w:val="00D13A69"/>
    <w:rsid w:val="00D13F3D"/>
    <w:rsid w:val="00D141F4"/>
    <w:rsid w:val="00D143F0"/>
    <w:rsid w:val="00D14C28"/>
    <w:rsid w:val="00D1520F"/>
    <w:rsid w:val="00D1566B"/>
    <w:rsid w:val="00D1567D"/>
    <w:rsid w:val="00D15745"/>
    <w:rsid w:val="00D158AE"/>
    <w:rsid w:val="00D15D02"/>
    <w:rsid w:val="00D16524"/>
    <w:rsid w:val="00D172BE"/>
    <w:rsid w:val="00D173D0"/>
    <w:rsid w:val="00D1740E"/>
    <w:rsid w:val="00D175C2"/>
    <w:rsid w:val="00D2035A"/>
    <w:rsid w:val="00D21299"/>
    <w:rsid w:val="00D213CF"/>
    <w:rsid w:val="00D214C3"/>
    <w:rsid w:val="00D21938"/>
    <w:rsid w:val="00D22DE5"/>
    <w:rsid w:val="00D22DEB"/>
    <w:rsid w:val="00D22ED4"/>
    <w:rsid w:val="00D23466"/>
    <w:rsid w:val="00D23BAA"/>
    <w:rsid w:val="00D23CAA"/>
    <w:rsid w:val="00D23D53"/>
    <w:rsid w:val="00D24C8E"/>
    <w:rsid w:val="00D25A91"/>
    <w:rsid w:val="00D2661D"/>
    <w:rsid w:val="00D279FF"/>
    <w:rsid w:val="00D300CF"/>
    <w:rsid w:val="00D3012D"/>
    <w:rsid w:val="00D30BEB"/>
    <w:rsid w:val="00D30DA9"/>
    <w:rsid w:val="00D30FEE"/>
    <w:rsid w:val="00D3153E"/>
    <w:rsid w:val="00D3163E"/>
    <w:rsid w:val="00D32375"/>
    <w:rsid w:val="00D328AB"/>
    <w:rsid w:val="00D330D8"/>
    <w:rsid w:val="00D33442"/>
    <w:rsid w:val="00D34117"/>
    <w:rsid w:val="00D3414A"/>
    <w:rsid w:val="00D35C96"/>
    <w:rsid w:val="00D3626E"/>
    <w:rsid w:val="00D367AB"/>
    <w:rsid w:val="00D36F29"/>
    <w:rsid w:val="00D37073"/>
    <w:rsid w:val="00D408B5"/>
    <w:rsid w:val="00D41C32"/>
    <w:rsid w:val="00D42526"/>
    <w:rsid w:val="00D42828"/>
    <w:rsid w:val="00D42FC9"/>
    <w:rsid w:val="00D435E3"/>
    <w:rsid w:val="00D439B2"/>
    <w:rsid w:val="00D43F1A"/>
    <w:rsid w:val="00D452D6"/>
    <w:rsid w:val="00D45397"/>
    <w:rsid w:val="00D4546B"/>
    <w:rsid w:val="00D4580C"/>
    <w:rsid w:val="00D458EE"/>
    <w:rsid w:val="00D4743A"/>
    <w:rsid w:val="00D5007C"/>
    <w:rsid w:val="00D500AF"/>
    <w:rsid w:val="00D50E42"/>
    <w:rsid w:val="00D50ED4"/>
    <w:rsid w:val="00D511CF"/>
    <w:rsid w:val="00D51263"/>
    <w:rsid w:val="00D5158E"/>
    <w:rsid w:val="00D51A69"/>
    <w:rsid w:val="00D51B4A"/>
    <w:rsid w:val="00D51C07"/>
    <w:rsid w:val="00D51DB4"/>
    <w:rsid w:val="00D5202B"/>
    <w:rsid w:val="00D52287"/>
    <w:rsid w:val="00D5393C"/>
    <w:rsid w:val="00D54623"/>
    <w:rsid w:val="00D55A42"/>
    <w:rsid w:val="00D55A9F"/>
    <w:rsid w:val="00D55D99"/>
    <w:rsid w:val="00D56F61"/>
    <w:rsid w:val="00D572E5"/>
    <w:rsid w:val="00D60013"/>
    <w:rsid w:val="00D6058F"/>
    <w:rsid w:val="00D6099F"/>
    <w:rsid w:val="00D6146B"/>
    <w:rsid w:val="00D621FA"/>
    <w:rsid w:val="00D62237"/>
    <w:rsid w:val="00D6334F"/>
    <w:rsid w:val="00D6406C"/>
    <w:rsid w:val="00D64216"/>
    <w:rsid w:val="00D6440A"/>
    <w:rsid w:val="00D650F9"/>
    <w:rsid w:val="00D65E69"/>
    <w:rsid w:val="00D66948"/>
    <w:rsid w:val="00D66CF4"/>
    <w:rsid w:val="00D66D0E"/>
    <w:rsid w:val="00D66FB6"/>
    <w:rsid w:val="00D67A0F"/>
    <w:rsid w:val="00D70616"/>
    <w:rsid w:val="00D712F0"/>
    <w:rsid w:val="00D7165B"/>
    <w:rsid w:val="00D7188F"/>
    <w:rsid w:val="00D71AFB"/>
    <w:rsid w:val="00D722D3"/>
    <w:rsid w:val="00D729CB"/>
    <w:rsid w:val="00D72C6B"/>
    <w:rsid w:val="00D73A83"/>
    <w:rsid w:val="00D746E6"/>
    <w:rsid w:val="00D74CE6"/>
    <w:rsid w:val="00D75876"/>
    <w:rsid w:val="00D75924"/>
    <w:rsid w:val="00D75A0A"/>
    <w:rsid w:val="00D76512"/>
    <w:rsid w:val="00D765FD"/>
    <w:rsid w:val="00D76920"/>
    <w:rsid w:val="00D778A1"/>
    <w:rsid w:val="00D77972"/>
    <w:rsid w:val="00D806A3"/>
    <w:rsid w:val="00D8173B"/>
    <w:rsid w:val="00D82C35"/>
    <w:rsid w:val="00D834CA"/>
    <w:rsid w:val="00D835FA"/>
    <w:rsid w:val="00D849B5"/>
    <w:rsid w:val="00D84C77"/>
    <w:rsid w:val="00D84F9C"/>
    <w:rsid w:val="00D859EF"/>
    <w:rsid w:val="00D85C34"/>
    <w:rsid w:val="00D85DBD"/>
    <w:rsid w:val="00D87133"/>
    <w:rsid w:val="00D87B39"/>
    <w:rsid w:val="00D87E48"/>
    <w:rsid w:val="00D90A72"/>
    <w:rsid w:val="00D90C94"/>
    <w:rsid w:val="00D916A0"/>
    <w:rsid w:val="00D91AC6"/>
    <w:rsid w:val="00D91FAC"/>
    <w:rsid w:val="00D923A9"/>
    <w:rsid w:val="00D92C04"/>
    <w:rsid w:val="00D930C2"/>
    <w:rsid w:val="00D946DF"/>
    <w:rsid w:val="00D94786"/>
    <w:rsid w:val="00D95614"/>
    <w:rsid w:val="00D959B6"/>
    <w:rsid w:val="00D959D4"/>
    <w:rsid w:val="00D95F3E"/>
    <w:rsid w:val="00D96AF1"/>
    <w:rsid w:val="00D973B0"/>
    <w:rsid w:val="00D97B57"/>
    <w:rsid w:val="00DA04A4"/>
    <w:rsid w:val="00DA066E"/>
    <w:rsid w:val="00DA075B"/>
    <w:rsid w:val="00DA10FD"/>
    <w:rsid w:val="00DA1B95"/>
    <w:rsid w:val="00DA1BF7"/>
    <w:rsid w:val="00DA1E68"/>
    <w:rsid w:val="00DA336D"/>
    <w:rsid w:val="00DA3397"/>
    <w:rsid w:val="00DA48F5"/>
    <w:rsid w:val="00DA4EFF"/>
    <w:rsid w:val="00DA5838"/>
    <w:rsid w:val="00DA5F28"/>
    <w:rsid w:val="00DA5F9C"/>
    <w:rsid w:val="00DA69D6"/>
    <w:rsid w:val="00DA7183"/>
    <w:rsid w:val="00DA7356"/>
    <w:rsid w:val="00DA7A1B"/>
    <w:rsid w:val="00DB0EFE"/>
    <w:rsid w:val="00DB112E"/>
    <w:rsid w:val="00DB16E1"/>
    <w:rsid w:val="00DB1B0C"/>
    <w:rsid w:val="00DB1FE7"/>
    <w:rsid w:val="00DB307B"/>
    <w:rsid w:val="00DB345E"/>
    <w:rsid w:val="00DB37BC"/>
    <w:rsid w:val="00DB3E37"/>
    <w:rsid w:val="00DB49D2"/>
    <w:rsid w:val="00DB4C1C"/>
    <w:rsid w:val="00DB4E14"/>
    <w:rsid w:val="00DB5335"/>
    <w:rsid w:val="00DB5814"/>
    <w:rsid w:val="00DB5D52"/>
    <w:rsid w:val="00DB5FC6"/>
    <w:rsid w:val="00DB6295"/>
    <w:rsid w:val="00DB741C"/>
    <w:rsid w:val="00DB7426"/>
    <w:rsid w:val="00DB7AAA"/>
    <w:rsid w:val="00DB7ED1"/>
    <w:rsid w:val="00DC00C9"/>
    <w:rsid w:val="00DC038E"/>
    <w:rsid w:val="00DC09FA"/>
    <w:rsid w:val="00DC1383"/>
    <w:rsid w:val="00DC17A7"/>
    <w:rsid w:val="00DC1944"/>
    <w:rsid w:val="00DC2030"/>
    <w:rsid w:val="00DC2402"/>
    <w:rsid w:val="00DC2CF7"/>
    <w:rsid w:val="00DC4060"/>
    <w:rsid w:val="00DC4190"/>
    <w:rsid w:val="00DC45A9"/>
    <w:rsid w:val="00DC52A1"/>
    <w:rsid w:val="00DC5FA3"/>
    <w:rsid w:val="00DC6D54"/>
    <w:rsid w:val="00DC6FFC"/>
    <w:rsid w:val="00DD0179"/>
    <w:rsid w:val="00DD07AB"/>
    <w:rsid w:val="00DD07C8"/>
    <w:rsid w:val="00DD08EF"/>
    <w:rsid w:val="00DD134D"/>
    <w:rsid w:val="00DD2213"/>
    <w:rsid w:val="00DD296C"/>
    <w:rsid w:val="00DD2F51"/>
    <w:rsid w:val="00DD38FE"/>
    <w:rsid w:val="00DD4E65"/>
    <w:rsid w:val="00DD620D"/>
    <w:rsid w:val="00DD6686"/>
    <w:rsid w:val="00DD6A83"/>
    <w:rsid w:val="00DD703C"/>
    <w:rsid w:val="00DD7827"/>
    <w:rsid w:val="00DD7B2E"/>
    <w:rsid w:val="00DD7B78"/>
    <w:rsid w:val="00DE004B"/>
    <w:rsid w:val="00DE0D13"/>
    <w:rsid w:val="00DE235E"/>
    <w:rsid w:val="00DE3C00"/>
    <w:rsid w:val="00DE55A7"/>
    <w:rsid w:val="00DE6A8A"/>
    <w:rsid w:val="00DE72C7"/>
    <w:rsid w:val="00DE7552"/>
    <w:rsid w:val="00DE7AC6"/>
    <w:rsid w:val="00DF0843"/>
    <w:rsid w:val="00DF19A1"/>
    <w:rsid w:val="00DF2788"/>
    <w:rsid w:val="00DF2994"/>
    <w:rsid w:val="00DF2B80"/>
    <w:rsid w:val="00DF2E43"/>
    <w:rsid w:val="00DF30D6"/>
    <w:rsid w:val="00DF3BBF"/>
    <w:rsid w:val="00DF3CB8"/>
    <w:rsid w:val="00DF42B4"/>
    <w:rsid w:val="00DF547D"/>
    <w:rsid w:val="00DF5879"/>
    <w:rsid w:val="00DF62BF"/>
    <w:rsid w:val="00DF6577"/>
    <w:rsid w:val="00DF67E9"/>
    <w:rsid w:val="00DF6A7A"/>
    <w:rsid w:val="00DF6F64"/>
    <w:rsid w:val="00DF7021"/>
    <w:rsid w:val="00DF7580"/>
    <w:rsid w:val="00DF7EE2"/>
    <w:rsid w:val="00E0077A"/>
    <w:rsid w:val="00E01141"/>
    <w:rsid w:val="00E0142A"/>
    <w:rsid w:val="00E019DE"/>
    <w:rsid w:val="00E020A9"/>
    <w:rsid w:val="00E021AE"/>
    <w:rsid w:val="00E02311"/>
    <w:rsid w:val="00E0318D"/>
    <w:rsid w:val="00E03491"/>
    <w:rsid w:val="00E03684"/>
    <w:rsid w:val="00E04A41"/>
    <w:rsid w:val="00E04AE3"/>
    <w:rsid w:val="00E06647"/>
    <w:rsid w:val="00E07C65"/>
    <w:rsid w:val="00E1096B"/>
    <w:rsid w:val="00E11B5A"/>
    <w:rsid w:val="00E11D6C"/>
    <w:rsid w:val="00E1279B"/>
    <w:rsid w:val="00E12F88"/>
    <w:rsid w:val="00E13A10"/>
    <w:rsid w:val="00E13EFD"/>
    <w:rsid w:val="00E14DE7"/>
    <w:rsid w:val="00E158F4"/>
    <w:rsid w:val="00E15AB0"/>
    <w:rsid w:val="00E15DCB"/>
    <w:rsid w:val="00E15F0E"/>
    <w:rsid w:val="00E163F8"/>
    <w:rsid w:val="00E16E64"/>
    <w:rsid w:val="00E171ED"/>
    <w:rsid w:val="00E20923"/>
    <w:rsid w:val="00E209A1"/>
    <w:rsid w:val="00E20C95"/>
    <w:rsid w:val="00E21F47"/>
    <w:rsid w:val="00E236CC"/>
    <w:rsid w:val="00E243A8"/>
    <w:rsid w:val="00E24743"/>
    <w:rsid w:val="00E251A0"/>
    <w:rsid w:val="00E264DE"/>
    <w:rsid w:val="00E26BF8"/>
    <w:rsid w:val="00E2799D"/>
    <w:rsid w:val="00E308A5"/>
    <w:rsid w:val="00E32BB5"/>
    <w:rsid w:val="00E33316"/>
    <w:rsid w:val="00E33ADC"/>
    <w:rsid w:val="00E33B9C"/>
    <w:rsid w:val="00E348A3"/>
    <w:rsid w:val="00E358B6"/>
    <w:rsid w:val="00E35BD0"/>
    <w:rsid w:val="00E36069"/>
    <w:rsid w:val="00E3620D"/>
    <w:rsid w:val="00E365AA"/>
    <w:rsid w:val="00E36A5C"/>
    <w:rsid w:val="00E370F9"/>
    <w:rsid w:val="00E37296"/>
    <w:rsid w:val="00E3775B"/>
    <w:rsid w:val="00E37BD2"/>
    <w:rsid w:val="00E4036A"/>
    <w:rsid w:val="00E4042B"/>
    <w:rsid w:val="00E408EE"/>
    <w:rsid w:val="00E40DD0"/>
    <w:rsid w:val="00E40FAE"/>
    <w:rsid w:val="00E40FCD"/>
    <w:rsid w:val="00E43274"/>
    <w:rsid w:val="00E434CC"/>
    <w:rsid w:val="00E43A88"/>
    <w:rsid w:val="00E43F09"/>
    <w:rsid w:val="00E4407E"/>
    <w:rsid w:val="00E45AD5"/>
    <w:rsid w:val="00E45D57"/>
    <w:rsid w:val="00E45F07"/>
    <w:rsid w:val="00E462CE"/>
    <w:rsid w:val="00E462E6"/>
    <w:rsid w:val="00E46A98"/>
    <w:rsid w:val="00E46E2F"/>
    <w:rsid w:val="00E4752D"/>
    <w:rsid w:val="00E47599"/>
    <w:rsid w:val="00E50FA8"/>
    <w:rsid w:val="00E51258"/>
    <w:rsid w:val="00E52438"/>
    <w:rsid w:val="00E52573"/>
    <w:rsid w:val="00E52978"/>
    <w:rsid w:val="00E52AEC"/>
    <w:rsid w:val="00E52EF2"/>
    <w:rsid w:val="00E53AAD"/>
    <w:rsid w:val="00E542B1"/>
    <w:rsid w:val="00E543F3"/>
    <w:rsid w:val="00E54C52"/>
    <w:rsid w:val="00E550E1"/>
    <w:rsid w:val="00E552C0"/>
    <w:rsid w:val="00E557E0"/>
    <w:rsid w:val="00E55A37"/>
    <w:rsid w:val="00E55B26"/>
    <w:rsid w:val="00E55D50"/>
    <w:rsid w:val="00E5618F"/>
    <w:rsid w:val="00E564B2"/>
    <w:rsid w:val="00E56B80"/>
    <w:rsid w:val="00E5797A"/>
    <w:rsid w:val="00E6056A"/>
    <w:rsid w:val="00E609E1"/>
    <w:rsid w:val="00E6180A"/>
    <w:rsid w:val="00E6271A"/>
    <w:rsid w:val="00E63035"/>
    <w:rsid w:val="00E63AB5"/>
    <w:rsid w:val="00E63C82"/>
    <w:rsid w:val="00E63D26"/>
    <w:rsid w:val="00E64075"/>
    <w:rsid w:val="00E64CE0"/>
    <w:rsid w:val="00E64FF7"/>
    <w:rsid w:val="00E6525C"/>
    <w:rsid w:val="00E66AA2"/>
    <w:rsid w:val="00E675A4"/>
    <w:rsid w:val="00E70B61"/>
    <w:rsid w:val="00E713B6"/>
    <w:rsid w:val="00E7145B"/>
    <w:rsid w:val="00E723CD"/>
    <w:rsid w:val="00E72478"/>
    <w:rsid w:val="00E72AD2"/>
    <w:rsid w:val="00E732AC"/>
    <w:rsid w:val="00E73919"/>
    <w:rsid w:val="00E74145"/>
    <w:rsid w:val="00E744B9"/>
    <w:rsid w:val="00E747AD"/>
    <w:rsid w:val="00E74B39"/>
    <w:rsid w:val="00E751F7"/>
    <w:rsid w:val="00E76D46"/>
    <w:rsid w:val="00E76E2A"/>
    <w:rsid w:val="00E80081"/>
    <w:rsid w:val="00E80B05"/>
    <w:rsid w:val="00E819E3"/>
    <w:rsid w:val="00E81D04"/>
    <w:rsid w:val="00E81FD9"/>
    <w:rsid w:val="00E82331"/>
    <w:rsid w:val="00E82868"/>
    <w:rsid w:val="00E82EFE"/>
    <w:rsid w:val="00E82F22"/>
    <w:rsid w:val="00E8314D"/>
    <w:rsid w:val="00E83FF3"/>
    <w:rsid w:val="00E8410A"/>
    <w:rsid w:val="00E84E9B"/>
    <w:rsid w:val="00E8597C"/>
    <w:rsid w:val="00E85DA0"/>
    <w:rsid w:val="00E85F07"/>
    <w:rsid w:val="00E86329"/>
    <w:rsid w:val="00E865A9"/>
    <w:rsid w:val="00E86A50"/>
    <w:rsid w:val="00E8773B"/>
    <w:rsid w:val="00E90465"/>
    <w:rsid w:val="00E90D62"/>
    <w:rsid w:val="00E910E3"/>
    <w:rsid w:val="00E913CF"/>
    <w:rsid w:val="00E92B1D"/>
    <w:rsid w:val="00E9329F"/>
    <w:rsid w:val="00E9371D"/>
    <w:rsid w:val="00E94EA5"/>
    <w:rsid w:val="00E94F15"/>
    <w:rsid w:val="00E957E6"/>
    <w:rsid w:val="00E95F02"/>
    <w:rsid w:val="00E968D9"/>
    <w:rsid w:val="00E9700A"/>
    <w:rsid w:val="00E972CF"/>
    <w:rsid w:val="00E97854"/>
    <w:rsid w:val="00E97A55"/>
    <w:rsid w:val="00EA1275"/>
    <w:rsid w:val="00EA1B29"/>
    <w:rsid w:val="00EA1E2D"/>
    <w:rsid w:val="00EA214C"/>
    <w:rsid w:val="00EA382B"/>
    <w:rsid w:val="00EA4A21"/>
    <w:rsid w:val="00EA4E76"/>
    <w:rsid w:val="00EA5190"/>
    <w:rsid w:val="00EA53B3"/>
    <w:rsid w:val="00EA5DA6"/>
    <w:rsid w:val="00EA6DF6"/>
    <w:rsid w:val="00EA7AE2"/>
    <w:rsid w:val="00EA7CF1"/>
    <w:rsid w:val="00EB081B"/>
    <w:rsid w:val="00EB1B1F"/>
    <w:rsid w:val="00EB1C7C"/>
    <w:rsid w:val="00EB1E0F"/>
    <w:rsid w:val="00EB2294"/>
    <w:rsid w:val="00EB25FB"/>
    <w:rsid w:val="00EB2EA0"/>
    <w:rsid w:val="00EB2FA4"/>
    <w:rsid w:val="00EB364E"/>
    <w:rsid w:val="00EB37BA"/>
    <w:rsid w:val="00EB3F85"/>
    <w:rsid w:val="00EB4874"/>
    <w:rsid w:val="00EB6450"/>
    <w:rsid w:val="00EB6939"/>
    <w:rsid w:val="00EB7360"/>
    <w:rsid w:val="00EB7461"/>
    <w:rsid w:val="00EC0775"/>
    <w:rsid w:val="00EC0EAA"/>
    <w:rsid w:val="00EC10DF"/>
    <w:rsid w:val="00EC19CA"/>
    <w:rsid w:val="00EC1AA6"/>
    <w:rsid w:val="00EC2098"/>
    <w:rsid w:val="00EC22A2"/>
    <w:rsid w:val="00EC2DD6"/>
    <w:rsid w:val="00EC35CD"/>
    <w:rsid w:val="00EC36CD"/>
    <w:rsid w:val="00EC4835"/>
    <w:rsid w:val="00EC49C2"/>
    <w:rsid w:val="00EC4E7F"/>
    <w:rsid w:val="00EC4EC8"/>
    <w:rsid w:val="00EC532C"/>
    <w:rsid w:val="00EC57FD"/>
    <w:rsid w:val="00EC610C"/>
    <w:rsid w:val="00EC6A2A"/>
    <w:rsid w:val="00EC6F8E"/>
    <w:rsid w:val="00EC791F"/>
    <w:rsid w:val="00EC7D78"/>
    <w:rsid w:val="00ED05DB"/>
    <w:rsid w:val="00ED101C"/>
    <w:rsid w:val="00ED112E"/>
    <w:rsid w:val="00ED1F1E"/>
    <w:rsid w:val="00ED1F29"/>
    <w:rsid w:val="00ED29E9"/>
    <w:rsid w:val="00ED2C40"/>
    <w:rsid w:val="00ED2FB7"/>
    <w:rsid w:val="00ED37E9"/>
    <w:rsid w:val="00ED3E03"/>
    <w:rsid w:val="00ED499E"/>
    <w:rsid w:val="00ED4E35"/>
    <w:rsid w:val="00ED50E3"/>
    <w:rsid w:val="00ED6792"/>
    <w:rsid w:val="00ED68E2"/>
    <w:rsid w:val="00ED6AC7"/>
    <w:rsid w:val="00ED6BF8"/>
    <w:rsid w:val="00ED6FED"/>
    <w:rsid w:val="00ED71A9"/>
    <w:rsid w:val="00ED7312"/>
    <w:rsid w:val="00EE0850"/>
    <w:rsid w:val="00EE09DA"/>
    <w:rsid w:val="00EE0B0A"/>
    <w:rsid w:val="00EE0D0A"/>
    <w:rsid w:val="00EE2496"/>
    <w:rsid w:val="00EE2985"/>
    <w:rsid w:val="00EE3597"/>
    <w:rsid w:val="00EE36C8"/>
    <w:rsid w:val="00EE3769"/>
    <w:rsid w:val="00EE3A60"/>
    <w:rsid w:val="00EE445E"/>
    <w:rsid w:val="00EE44A8"/>
    <w:rsid w:val="00EE4ADB"/>
    <w:rsid w:val="00EE4B3F"/>
    <w:rsid w:val="00EE4DF9"/>
    <w:rsid w:val="00EE60AF"/>
    <w:rsid w:val="00EF0683"/>
    <w:rsid w:val="00EF0C51"/>
    <w:rsid w:val="00EF1122"/>
    <w:rsid w:val="00EF11B5"/>
    <w:rsid w:val="00EF140D"/>
    <w:rsid w:val="00EF17A7"/>
    <w:rsid w:val="00EF1BFB"/>
    <w:rsid w:val="00EF1E7D"/>
    <w:rsid w:val="00EF31C4"/>
    <w:rsid w:val="00EF3881"/>
    <w:rsid w:val="00EF3CC3"/>
    <w:rsid w:val="00EF4D1B"/>
    <w:rsid w:val="00EF4DDC"/>
    <w:rsid w:val="00EF503D"/>
    <w:rsid w:val="00EF5C17"/>
    <w:rsid w:val="00EF617C"/>
    <w:rsid w:val="00EF6B29"/>
    <w:rsid w:val="00EF7119"/>
    <w:rsid w:val="00EF7769"/>
    <w:rsid w:val="00F004CE"/>
    <w:rsid w:val="00F00C3D"/>
    <w:rsid w:val="00F00D85"/>
    <w:rsid w:val="00F010B9"/>
    <w:rsid w:val="00F02147"/>
    <w:rsid w:val="00F02B0C"/>
    <w:rsid w:val="00F035C8"/>
    <w:rsid w:val="00F03867"/>
    <w:rsid w:val="00F04A19"/>
    <w:rsid w:val="00F04BA9"/>
    <w:rsid w:val="00F04E71"/>
    <w:rsid w:val="00F04EF4"/>
    <w:rsid w:val="00F06213"/>
    <w:rsid w:val="00F072E1"/>
    <w:rsid w:val="00F10279"/>
    <w:rsid w:val="00F1029A"/>
    <w:rsid w:val="00F10EA0"/>
    <w:rsid w:val="00F1123F"/>
    <w:rsid w:val="00F11667"/>
    <w:rsid w:val="00F11E00"/>
    <w:rsid w:val="00F121A1"/>
    <w:rsid w:val="00F12396"/>
    <w:rsid w:val="00F13300"/>
    <w:rsid w:val="00F136ED"/>
    <w:rsid w:val="00F140EB"/>
    <w:rsid w:val="00F14D38"/>
    <w:rsid w:val="00F15CA0"/>
    <w:rsid w:val="00F201C0"/>
    <w:rsid w:val="00F20633"/>
    <w:rsid w:val="00F209A9"/>
    <w:rsid w:val="00F21058"/>
    <w:rsid w:val="00F2128C"/>
    <w:rsid w:val="00F21E6C"/>
    <w:rsid w:val="00F21F6B"/>
    <w:rsid w:val="00F2214A"/>
    <w:rsid w:val="00F22334"/>
    <w:rsid w:val="00F22694"/>
    <w:rsid w:val="00F22B6A"/>
    <w:rsid w:val="00F2316C"/>
    <w:rsid w:val="00F23A86"/>
    <w:rsid w:val="00F24093"/>
    <w:rsid w:val="00F2412C"/>
    <w:rsid w:val="00F24CD9"/>
    <w:rsid w:val="00F2521E"/>
    <w:rsid w:val="00F26595"/>
    <w:rsid w:val="00F26EBD"/>
    <w:rsid w:val="00F2798E"/>
    <w:rsid w:val="00F30154"/>
    <w:rsid w:val="00F30199"/>
    <w:rsid w:val="00F301F7"/>
    <w:rsid w:val="00F30328"/>
    <w:rsid w:val="00F30BEB"/>
    <w:rsid w:val="00F327D1"/>
    <w:rsid w:val="00F339B6"/>
    <w:rsid w:val="00F34727"/>
    <w:rsid w:val="00F35128"/>
    <w:rsid w:val="00F35B74"/>
    <w:rsid w:val="00F35C43"/>
    <w:rsid w:val="00F36CC1"/>
    <w:rsid w:val="00F37349"/>
    <w:rsid w:val="00F373B4"/>
    <w:rsid w:val="00F37C45"/>
    <w:rsid w:val="00F37C7A"/>
    <w:rsid w:val="00F40439"/>
    <w:rsid w:val="00F40925"/>
    <w:rsid w:val="00F409CB"/>
    <w:rsid w:val="00F40C84"/>
    <w:rsid w:val="00F4285A"/>
    <w:rsid w:val="00F4291B"/>
    <w:rsid w:val="00F4298E"/>
    <w:rsid w:val="00F42B7D"/>
    <w:rsid w:val="00F42F19"/>
    <w:rsid w:val="00F436A1"/>
    <w:rsid w:val="00F449C2"/>
    <w:rsid w:val="00F44D44"/>
    <w:rsid w:val="00F45E07"/>
    <w:rsid w:val="00F47226"/>
    <w:rsid w:val="00F47AD6"/>
    <w:rsid w:val="00F504DF"/>
    <w:rsid w:val="00F52470"/>
    <w:rsid w:val="00F526D6"/>
    <w:rsid w:val="00F52AEA"/>
    <w:rsid w:val="00F52BE2"/>
    <w:rsid w:val="00F532D7"/>
    <w:rsid w:val="00F53BA4"/>
    <w:rsid w:val="00F53EFE"/>
    <w:rsid w:val="00F5490F"/>
    <w:rsid w:val="00F55257"/>
    <w:rsid w:val="00F56D88"/>
    <w:rsid w:val="00F610F3"/>
    <w:rsid w:val="00F61BF3"/>
    <w:rsid w:val="00F62142"/>
    <w:rsid w:val="00F622A3"/>
    <w:rsid w:val="00F6248D"/>
    <w:rsid w:val="00F62E7B"/>
    <w:rsid w:val="00F64CE6"/>
    <w:rsid w:val="00F650CC"/>
    <w:rsid w:val="00F65A20"/>
    <w:rsid w:val="00F660A1"/>
    <w:rsid w:val="00F66CC2"/>
    <w:rsid w:val="00F66E4C"/>
    <w:rsid w:val="00F67930"/>
    <w:rsid w:val="00F70284"/>
    <w:rsid w:val="00F72141"/>
    <w:rsid w:val="00F724E2"/>
    <w:rsid w:val="00F729BB"/>
    <w:rsid w:val="00F72BEB"/>
    <w:rsid w:val="00F72DBA"/>
    <w:rsid w:val="00F72EFA"/>
    <w:rsid w:val="00F73784"/>
    <w:rsid w:val="00F73B2E"/>
    <w:rsid w:val="00F73C16"/>
    <w:rsid w:val="00F73C5F"/>
    <w:rsid w:val="00F742C7"/>
    <w:rsid w:val="00F74890"/>
    <w:rsid w:val="00F74898"/>
    <w:rsid w:val="00F74AD2"/>
    <w:rsid w:val="00F74FC7"/>
    <w:rsid w:val="00F74FDF"/>
    <w:rsid w:val="00F76CFF"/>
    <w:rsid w:val="00F77186"/>
    <w:rsid w:val="00F774AE"/>
    <w:rsid w:val="00F81460"/>
    <w:rsid w:val="00F81E2D"/>
    <w:rsid w:val="00F82C44"/>
    <w:rsid w:val="00F82EAA"/>
    <w:rsid w:val="00F82FC6"/>
    <w:rsid w:val="00F83645"/>
    <w:rsid w:val="00F856E4"/>
    <w:rsid w:val="00F85B9A"/>
    <w:rsid w:val="00F85D21"/>
    <w:rsid w:val="00F85D58"/>
    <w:rsid w:val="00F85D9D"/>
    <w:rsid w:val="00F85DF7"/>
    <w:rsid w:val="00F8613E"/>
    <w:rsid w:val="00F86389"/>
    <w:rsid w:val="00F86808"/>
    <w:rsid w:val="00F87558"/>
    <w:rsid w:val="00F87559"/>
    <w:rsid w:val="00F87BEE"/>
    <w:rsid w:val="00F910E5"/>
    <w:rsid w:val="00F92082"/>
    <w:rsid w:val="00F9218F"/>
    <w:rsid w:val="00F924FE"/>
    <w:rsid w:val="00F927E6"/>
    <w:rsid w:val="00F9388A"/>
    <w:rsid w:val="00F94155"/>
    <w:rsid w:val="00F942B6"/>
    <w:rsid w:val="00F950A5"/>
    <w:rsid w:val="00F95278"/>
    <w:rsid w:val="00F9569A"/>
    <w:rsid w:val="00F96042"/>
    <w:rsid w:val="00F96AE6"/>
    <w:rsid w:val="00F96D90"/>
    <w:rsid w:val="00F96EFB"/>
    <w:rsid w:val="00F970C9"/>
    <w:rsid w:val="00F97B37"/>
    <w:rsid w:val="00FA0394"/>
    <w:rsid w:val="00FA04FB"/>
    <w:rsid w:val="00FA05AA"/>
    <w:rsid w:val="00FA0B18"/>
    <w:rsid w:val="00FA0E27"/>
    <w:rsid w:val="00FA18E1"/>
    <w:rsid w:val="00FA1DD2"/>
    <w:rsid w:val="00FA22CF"/>
    <w:rsid w:val="00FA35E7"/>
    <w:rsid w:val="00FA3813"/>
    <w:rsid w:val="00FA39E9"/>
    <w:rsid w:val="00FA45FF"/>
    <w:rsid w:val="00FA4C37"/>
    <w:rsid w:val="00FA5751"/>
    <w:rsid w:val="00FA5826"/>
    <w:rsid w:val="00FA678B"/>
    <w:rsid w:val="00FA755B"/>
    <w:rsid w:val="00FB0686"/>
    <w:rsid w:val="00FB1056"/>
    <w:rsid w:val="00FB1B73"/>
    <w:rsid w:val="00FB2851"/>
    <w:rsid w:val="00FB2AC4"/>
    <w:rsid w:val="00FB302D"/>
    <w:rsid w:val="00FB32D0"/>
    <w:rsid w:val="00FB33C0"/>
    <w:rsid w:val="00FB3564"/>
    <w:rsid w:val="00FB36D1"/>
    <w:rsid w:val="00FB3D7B"/>
    <w:rsid w:val="00FB425C"/>
    <w:rsid w:val="00FB46FA"/>
    <w:rsid w:val="00FB51D3"/>
    <w:rsid w:val="00FB5B4D"/>
    <w:rsid w:val="00FB5F65"/>
    <w:rsid w:val="00FB634B"/>
    <w:rsid w:val="00FB681A"/>
    <w:rsid w:val="00FB6AAE"/>
    <w:rsid w:val="00FB6DEF"/>
    <w:rsid w:val="00FB6F5D"/>
    <w:rsid w:val="00FB77AC"/>
    <w:rsid w:val="00FB7EAB"/>
    <w:rsid w:val="00FB7FAA"/>
    <w:rsid w:val="00FC0627"/>
    <w:rsid w:val="00FC19D8"/>
    <w:rsid w:val="00FC1BF4"/>
    <w:rsid w:val="00FC21BB"/>
    <w:rsid w:val="00FC2254"/>
    <w:rsid w:val="00FC33CA"/>
    <w:rsid w:val="00FC3450"/>
    <w:rsid w:val="00FC3605"/>
    <w:rsid w:val="00FC3A64"/>
    <w:rsid w:val="00FC4AFF"/>
    <w:rsid w:val="00FC5542"/>
    <w:rsid w:val="00FC594D"/>
    <w:rsid w:val="00FC606C"/>
    <w:rsid w:val="00FC6334"/>
    <w:rsid w:val="00FC6681"/>
    <w:rsid w:val="00FC693F"/>
    <w:rsid w:val="00FC6CE0"/>
    <w:rsid w:val="00FD0139"/>
    <w:rsid w:val="00FD0C17"/>
    <w:rsid w:val="00FD1410"/>
    <w:rsid w:val="00FD265F"/>
    <w:rsid w:val="00FD2984"/>
    <w:rsid w:val="00FD2BF2"/>
    <w:rsid w:val="00FD37C6"/>
    <w:rsid w:val="00FD46C7"/>
    <w:rsid w:val="00FD4C5F"/>
    <w:rsid w:val="00FD534C"/>
    <w:rsid w:val="00FD55F7"/>
    <w:rsid w:val="00FD7313"/>
    <w:rsid w:val="00FD780D"/>
    <w:rsid w:val="00FD7C7D"/>
    <w:rsid w:val="00FD7E54"/>
    <w:rsid w:val="00FE01FE"/>
    <w:rsid w:val="00FE0528"/>
    <w:rsid w:val="00FE06CA"/>
    <w:rsid w:val="00FE1429"/>
    <w:rsid w:val="00FE1BF2"/>
    <w:rsid w:val="00FE1C6F"/>
    <w:rsid w:val="00FE39F6"/>
    <w:rsid w:val="00FE497B"/>
    <w:rsid w:val="00FE4A74"/>
    <w:rsid w:val="00FE5538"/>
    <w:rsid w:val="00FE7921"/>
    <w:rsid w:val="00FE7BF6"/>
    <w:rsid w:val="00FF0D23"/>
    <w:rsid w:val="00FF1C8C"/>
    <w:rsid w:val="00FF2715"/>
    <w:rsid w:val="00FF3445"/>
    <w:rsid w:val="00FF37AA"/>
    <w:rsid w:val="00FF385B"/>
    <w:rsid w:val="00FF493D"/>
    <w:rsid w:val="00FF4BF9"/>
    <w:rsid w:val="00FF53BD"/>
    <w:rsid w:val="00FF6142"/>
    <w:rsid w:val="00FF670F"/>
    <w:rsid w:val="00FF687D"/>
    <w:rsid w:val="00FF6910"/>
    <w:rsid w:val="00FF723E"/>
    <w:rsid w:val="00FF72F2"/>
    <w:rsid w:val="00FF73CB"/>
    <w:rsid w:val="00FF7695"/>
    <w:rsid w:val="0149E4B3"/>
    <w:rsid w:val="01944884"/>
    <w:rsid w:val="01BDD330"/>
    <w:rsid w:val="01CAA55A"/>
    <w:rsid w:val="02B39907"/>
    <w:rsid w:val="02E536D2"/>
    <w:rsid w:val="02EB52C5"/>
    <w:rsid w:val="043B0A4D"/>
    <w:rsid w:val="043C92D8"/>
    <w:rsid w:val="04F94B1A"/>
    <w:rsid w:val="057DA4F1"/>
    <w:rsid w:val="0621C9C0"/>
    <w:rsid w:val="0674D4B5"/>
    <w:rsid w:val="071FA748"/>
    <w:rsid w:val="0722BE5D"/>
    <w:rsid w:val="07700DDB"/>
    <w:rsid w:val="07B000C7"/>
    <w:rsid w:val="07DA0E83"/>
    <w:rsid w:val="0821ED4A"/>
    <w:rsid w:val="08898F07"/>
    <w:rsid w:val="0890BE86"/>
    <w:rsid w:val="08DCE786"/>
    <w:rsid w:val="0990C94F"/>
    <w:rsid w:val="0A3EE347"/>
    <w:rsid w:val="0B48A80F"/>
    <w:rsid w:val="0C7FABAC"/>
    <w:rsid w:val="0D006F8E"/>
    <w:rsid w:val="0D689365"/>
    <w:rsid w:val="0E162607"/>
    <w:rsid w:val="0E7CA35F"/>
    <w:rsid w:val="0E9CCE51"/>
    <w:rsid w:val="0EB9F5A3"/>
    <w:rsid w:val="0ECA6D96"/>
    <w:rsid w:val="0FC03C09"/>
    <w:rsid w:val="0FF91829"/>
    <w:rsid w:val="11D5EFED"/>
    <w:rsid w:val="129FB3D9"/>
    <w:rsid w:val="14426D8E"/>
    <w:rsid w:val="1494D2FB"/>
    <w:rsid w:val="1494F981"/>
    <w:rsid w:val="14F778E5"/>
    <w:rsid w:val="16A16C8E"/>
    <w:rsid w:val="17982095"/>
    <w:rsid w:val="191CE6E2"/>
    <w:rsid w:val="1A58D824"/>
    <w:rsid w:val="1B5A6033"/>
    <w:rsid w:val="1BD4F6B5"/>
    <w:rsid w:val="1D075F18"/>
    <w:rsid w:val="1E957C40"/>
    <w:rsid w:val="1F5B713A"/>
    <w:rsid w:val="1FF17477"/>
    <w:rsid w:val="20282F5B"/>
    <w:rsid w:val="2059F065"/>
    <w:rsid w:val="21EB24DA"/>
    <w:rsid w:val="22F677D5"/>
    <w:rsid w:val="239AD599"/>
    <w:rsid w:val="239B9A26"/>
    <w:rsid w:val="23D2CECC"/>
    <w:rsid w:val="244297E5"/>
    <w:rsid w:val="245339EB"/>
    <w:rsid w:val="2553DB15"/>
    <w:rsid w:val="257A8FA8"/>
    <w:rsid w:val="25F2DE61"/>
    <w:rsid w:val="25FFFD1C"/>
    <w:rsid w:val="26E0059D"/>
    <w:rsid w:val="275E76B9"/>
    <w:rsid w:val="27789659"/>
    <w:rsid w:val="277A196E"/>
    <w:rsid w:val="27E6ACAA"/>
    <w:rsid w:val="29DD2799"/>
    <w:rsid w:val="2A49E4F0"/>
    <w:rsid w:val="2B0B77AF"/>
    <w:rsid w:val="2BA25E0C"/>
    <w:rsid w:val="2C8806D2"/>
    <w:rsid w:val="2D7FF68D"/>
    <w:rsid w:val="2D9174A3"/>
    <w:rsid w:val="2E1E5945"/>
    <w:rsid w:val="2E7AD1DC"/>
    <w:rsid w:val="30005EFA"/>
    <w:rsid w:val="30658E59"/>
    <w:rsid w:val="32C8FE0B"/>
    <w:rsid w:val="33A5D5B3"/>
    <w:rsid w:val="33E152AF"/>
    <w:rsid w:val="3449EE23"/>
    <w:rsid w:val="36AEC3ED"/>
    <w:rsid w:val="36DBFBD7"/>
    <w:rsid w:val="386667C0"/>
    <w:rsid w:val="38B73EB8"/>
    <w:rsid w:val="3C074312"/>
    <w:rsid w:val="3CB4085C"/>
    <w:rsid w:val="3CF7EB18"/>
    <w:rsid w:val="3D2499D3"/>
    <w:rsid w:val="3EC6BCBE"/>
    <w:rsid w:val="3EE1BC0B"/>
    <w:rsid w:val="3F54DF81"/>
    <w:rsid w:val="405E63E1"/>
    <w:rsid w:val="41A331AE"/>
    <w:rsid w:val="43727076"/>
    <w:rsid w:val="446F7ACF"/>
    <w:rsid w:val="448DBEBD"/>
    <w:rsid w:val="44E020E3"/>
    <w:rsid w:val="481169B4"/>
    <w:rsid w:val="48934F57"/>
    <w:rsid w:val="4910D906"/>
    <w:rsid w:val="4AAF3528"/>
    <w:rsid w:val="4B21D25B"/>
    <w:rsid w:val="4B3220D0"/>
    <w:rsid w:val="4BB80C4B"/>
    <w:rsid w:val="4C2C0833"/>
    <w:rsid w:val="4CB9B3F0"/>
    <w:rsid w:val="4CCF866F"/>
    <w:rsid w:val="4D526E88"/>
    <w:rsid w:val="4E67E884"/>
    <w:rsid w:val="4E9657DC"/>
    <w:rsid w:val="4EABC98E"/>
    <w:rsid w:val="4F14728B"/>
    <w:rsid w:val="4F5DDEB4"/>
    <w:rsid w:val="500D1A5E"/>
    <w:rsid w:val="5169022C"/>
    <w:rsid w:val="51B22F35"/>
    <w:rsid w:val="51D95271"/>
    <w:rsid w:val="525321C8"/>
    <w:rsid w:val="5267400B"/>
    <w:rsid w:val="52761A77"/>
    <w:rsid w:val="52989856"/>
    <w:rsid w:val="53131E75"/>
    <w:rsid w:val="53BCC3EA"/>
    <w:rsid w:val="53DFA4A4"/>
    <w:rsid w:val="54AE8A1B"/>
    <w:rsid w:val="54B0DC72"/>
    <w:rsid w:val="54E229CE"/>
    <w:rsid w:val="562E5F62"/>
    <w:rsid w:val="568D43C6"/>
    <w:rsid w:val="56EDCBF3"/>
    <w:rsid w:val="5747706C"/>
    <w:rsid w:val="580DF725"/>
    <w:rsid w:val="58AD332D"/>
    <w:rsid w:val="58B4ECBD"/>
    <w:rsid w:val="59B0CE0B"/>
    <w:rsid w:val="59F6AB98"/>
    <w:rsid w:val="5A1B7F2F"/>
    <w:rsid w:val="5B4B6962"/>
    <w:rsid w:val="5B96E941"/>
    <w:rsid w:val="5BF74D84"/>
    <w:rsid w:val="5C10550F"/>
    <w:rsid w:val="5D89FD2F"/>
    <w:rsid w:val="5DC3E0F6"/>
    <w:rsid w:val="5E6A88D1"/>
    <w:rsid w:val="5E959462"/>
    <w:rsid w:val="5F654483"/>
    <w:rsid w:val="5FD7FA0C"/>
    <w:rsid w:val="5FEEB3E1"/>
    <w:rsid w:val="604ABBD5"/>
    <w:rsid w:val="6058514A"/>
    <w:rsid w:val="60702954"/>
    <w:rsid w:val="60EF0771"/>
    <w:rsid w:val="62784264"/>
    <w:rsid w:val="6301EB67"/>
    <w:rsid w:val="633EEC47"/>
    <w:rsid w:val="638B9045"/>
    <w:rsid w:val="63D02BC6"/>
    <w:rsid w:val="63FAA6C0"/>
    <w:rsid w:val="646C91CC"/>
    <w:rsid w:val="6474E99B"/>
    <w:rsid w:val="647E8DE4"/>
    <w:rsid w:val="65ECC51D"/>
    <w:rsid w:val="66450332"/>
    <w:rsid w:val="67179B0A"/>
    <w:rsid w:val="672352CF"/>
    <w:rsid w:val="678630DF"/>
    <w:rsid w:val="6798366A"/>
    <w:rsid w:val="67CE09FA"/>
    <w:rsid w:val="683D1252"/>
    <w:rsid w:val="68C71DBB"/>
    <w:rsid w:val="68E79587"/>
    <w:rsid w:val="6944F3CE"/>
    <w:rsid w:val="6A69BC81"/>
    <w:rsid w:val="6AA8A365"/>
    <w:rsid w:val="6AF3421F"/>
    <w:rsid w:val="6B515B76"/>
    <w:rsid w:val="6D8A5798"/>
    <w:rsid w:val="6DEAABCB"/>
    <w:rsid w:val="6F17D944"/>
    <w:rsid w:val="7008E7AD"/>
    <w:rsid w:val="7161A87F"/>
    <w:rsid w:val="718794D9"/>
    <w:rsid w:val="71C78FD9"/>
    <w:rsid w:val="71F5D1A1"/>
    <w:rsid w:val="7274AFD1"/>
    <w:rsid w:val="72A9BA84"/>
    <w:rsid w:val="738AA059"/>
    <w:rsid w:val="740B191C"/>
    <w:rsid w:val="7457D87C"/>
    <w:rsid w:val="74BB0C24"/>
    <w:rsid w:val="74D036C3"/>
    <w:rsid w:val="7571012A"/>
    <w:rsid w:val="758B244C"/>
    <w:rsid w:val="76E10DCE"/>
    <w:rsid w:val="7808541F"/>
    <w:rsid w:val="797859CA"/>
    <w:rsid w:val="7A48C143"/>
    <w:rsid w:val="7AAD11E5"/>
    <w:rsid w:val="7AF32F66"/>
    <w:rsid w:val="7B3035B0"/>
    <w:rsid w:val="7B3386C5"/>
    <w:rsid w:val="7C0EAF40"/>
    <w:rsid w:val="7D2EABDA"/>
    <w:rsid w:val="7DDAB4A7"/>
    <w:rsid w:val="7E02A8CD"/>
    <w:rsid w:val="7E32D924"/>
    <w:rsid w:val="7EB78E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E17"/>
    <w:rPr>
      <w:rFonts w:ascii="Times New Roman" w:eastAsia="Times New Roman" w:hAnsi="Times New Roman"/>
      <w:sz w:val="24"/>
    </w:rPr>
  </w:style>
  <w:style w:type="paragraph" w:styleId="Heading1">
    <w:name w:val="heading 1"/>
    <w:basedOn w:val="ListParagraph"/>
    <w:next w:val="Normal"/>
    <w:link w:val="Heading1Char"/>
    <w:uiPriority w:val="9"/>
    <w:qFormat/>
    <w:rsid w:val="00350E4C"/>
    <w:pPr>
      <w:numPr>
        <w:numId w:val="13"/>
      </w:numPr>
      <w:spacing w:before="120" w:after="0" w:line="240" w:lineRule="auto"/>
      <w:jc w:val="both"/>
      <w:outlineLvl w:val="0"/>
    </w:pPr>
    <w:rPr>
      <w:rFonts w:ascii="OptimaVO" w:hAnsi="OptimaVO"/>
      <w:b/>
      <w:color w:val="8D0E3B"/>
      <w:szCs w:val="24"/>
    </w:rPr>
  </w:style>
  <w:style w:type="paragraph" w:styleId="Heading2">
    <w:name w:val="heading 2"/>
    <w:basedOn w:val="ListParagraph"/>
    <w:next w:val="Normal"/>
    <w:link w:val="Heading2Char"/>
    <w:uiPriority w:val="9"/>
    <w:unhideWhenUsed/>
    <w:qFormat/>
    <w:rsid w:val="007533A1"/>
    <w:pPr>
      <w:numPr>
        <w:numId w:val="18"/>
      </w:numPr>
      <w:spacing w:after="0"/>
      <w:outlineLvl w:val="1"/>
    </w:pPr>
    <w:rPr>
      <w:rFonts w:ascii="OptimaVO" w:hAnsi="OptimaVO"/>
      <w:b/>
      <w:sz w:val="22"/>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OptimaVO" w:eastAsia="Times New Roman" w:hAnsi="OptimaVO"/>
      <w:b/>
      <w:color w:val="8D0E3B"/>
      <w:sz w:val="24"/>
      <w:szCs w:val="24"/>
      <w:lang w:val="en-US"/>
    </w:rPr>
  </w:style>
  <w:style w:type="character" w:customStyle="1" w:styleId="Heading2Char">
    <w:name w:val="Heading 2 Char"/>
    <w:basedOn w:val="DefaultParagraphFont"/>
    <w:link w:val="Heading2"/>
    <w:uiPriority w:val="9"/>
    <w:rsid w:val="00FC693F"/>
    <w:rPr>
      <w:rFonts w:ascii="OptimaVO" w:eastAsia="Times New Roman" w:hAnsi="OptimaVO"/>
      <w:b/>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434B02"/>
    <w:pPr>
      <w:spacing w:after="0" w:line="240" w:lineRule="auto"/>
    </w:pPr>
    <w:rPr>
      <w:rFonts w:ascii="Times New Roman" w:eastAsia="Times New Roman" w:hAnsi="Times New Roman"/>
      <w:sz w:val="24"/>
    </w:rPr>
  </w:style>
  <w:style w:type="character" w:styleId="CommentReference">
    <w:name w:val="annotation reference"/>
    <w:basedOn w:val="DefaultParagraphFont"/>
    <w:uiPriority w:val="99"/>
    <w:semiHidden/>
    <w:unhideWhenUsed/>
    <w:rsid w:val="00985FA2"/>
    <w:rPr>
      <w:sz w:val="16"/>
      <w:szCs w:val="16"/>
    </w:rPr>
  </w:style>
  <w:style w:type="paragraph" w:styleId="CommentText">
    <w:name w:val="annotation text"/>
    <w:basedOn w:val="Normal"/>
    <w:link w:val="CommentTextChar"/>
    <w:uiPriority w:val="99"/>
    <w:unhideWhenUsed/>
    <w:rsid w:val="00985FA2"/>
    <w:pPr>
      <w:spacing w:line="240" w:lineRule="auto"/>
    </w:pPr>
    <w:rPr>
      <w:sz w:val="20"/>
      <w:szCs w:val="20"/>
    </w:rPr>
  </w:style>
  <w:style w:type="character" w:customStyle="1" w:styleId="CommentTextChar">
    <w:name w:val="Comment Text Char"/>
    <w:basedOn w:val="DefaultParagraphFont"/>
    <w:link w:val="CommentText"/>
    <w:uiPriority w:val="99"/>
    <w:rsid w:val="00985FA2"/>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85FA2"/>
    <w:rPr>
      <w:b/>
      <w:bCs/>
    </w:rPr>
  </w:style>
  <w:style w:type="character" w:customStyle="1" w:styleId="CommentSubjectChar">
    <w:name w:val="Comment Subject Char"/>
    <w:basedOn w:val="CommentTextChar"/>
    <w:link w:val="CommentSubject"/>
    <w:uiPriority w:val="99"/>
    <w:semiHidden/>
    <w:rsid w:val="00985FA2"/>
    <w:rPr>
      <w:rFonts w:ascii="Times New Roman" w:eastAsia="Times New Roman" w:hAnsi="Times New Roman"/>
      <w:b/>
      <w:bCs/>
      <w:sz w:val="20"/>
      <w:szCs w:val="20"/>
    </w:rPr>
  </w:style>
  <w:style w:type="character" w:customStyle="1" w:styleId="apple-converted-space">
    <w:name w:val="apple-converted-space"/>
    <w:basedOn w:val="DefaultParagraphFont"/>
    <w:rsid w:val="00E913CF"/>
  </w:style>
  <w:style w:type="character" w:customStyle="1" w:styleId="Vnbnnidung">
    <w:name w:val="Văn bản nội dung_"/>
    <w:link w:val="Vnbnnidung0"/>
    <w:uiPriority w:val="99"/>
    <w:locked/>
    <w:rsid w:val="00972068"/>
    <w:rPr>
      <w:rFonts w:ascii="Times New Roman" w:hAnsi="Times New Roman"/>
      <w:sz w:val="26"/>
      <w:szCs w:val="26"/>
    </w:rPr>
  </w:style>
  <w:style w:type="paragraph" w:customStyle="1" w:styleId="Vnbnnidung0">
    <w:name w:val="Văn bản nội dung"/>
    <w:basedOn w:val="Normal"/>
    <w:link w:val="Vnbnnidung"/>
    <w:uiPriority w:val="99"/>
    <w:rsid w:val="00972068"/>
    <w:pPr>
      <w:widowControl w:val="0"/>
      <w:spacing w:after="100" w:line="259" w:lineRule="auto"/>
      <w:ind w:firstLine="20"/>
    </w:pPr>
    <w:rPr>
      <w:rFonts w:eastAsiaTheme="minorEastAsia"/>
      <w:sz w:val="26"/>
      <w:szCs w:val="26"/>
    </w:rPr>
  </w:style>
  <w:style w:type="paragraph" w:styleId="NormalWeb">
    <w:name w:val="Normal (Web)"/>
    <w:basedOn w:val="Normal"/>
    <w:uiPriority w:val="99"/>
    <w:unhideWhenUsed/>
    <w:rsid w:val="00972068"/>
    <w:pPr>
      <w:spacing w:before="100" w:beforeAutospacing="1" w:after="100" w:afterAutospacing="1" w:line="240" w:lineRule="auto"/>
    </w:pPr>
    <w:rPr>
      <w:rFonts w:cs="Times New Roman"/>
      <w:szCs w:val="24"/>
    </w:rPr>
  </w:style>
  <w:style w:type="paragraph" w:styleId="FootnoteText">
    <w:name w:val="footnote text"/>
    <w:basedOn w:val="Normal"/>
    <w:link w:val="FootnoteTextChar"/>
    <w:uiPriority w:val="99"/>
    <w:unhideWhenUsed/>
    <w:rsid w:val="00640487"/>
    <w:pPr>
      <w:spacing w:after="0" w:line="240" w:lineRule="auto"/>
    </w:pPr>
    <w:rPr>
      <w:sz w:val="20"/>
      <w:szCs w:val="20"/>
    </w:rPr>
  </w:style>
  <w:style w:type="character" w:customStyle="1" w:styleId="FootnoteTextChar">
    <w:name w:val="Footnote Text Char"/>
    <w:basedOn w:val="DefaultParagraphFont"/>
    <w:link w:val="FootnoteText"/>
    <w:uiPriority w:val="99"/>
    <w:rsid w:val="00640487"/>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640487"/>
    <w:rPr>
      <w:vertAlign w:val="superscript"/>
    </w:rPr>
  </w:style>
  <w:style w:type="character" w:customStyle="1" w:styleId="normaltextrun">
    <w:name w:val="normaltextrun"/>
    <w:basedOn w:val="DefaultParagraphFont"/>
    <w:rsid w:val="00DC45A9"/>
  </w:style>
  <w:style w:type="character" w:customStyle="1" w:styleId="eop">
    <w:name w:val="eop"/>
    <w:basedOn w:val="DefaultParagraphFont"/>
    <w:rsid w:val="00DC45A9"/>
  </w:style>
  <w:style w:type="paragraph" w:customStyle="1" w:styleId="abc">
    <w:name w:val="abc"/>
    <w:basedOn w:val="Normal"/>
    <w:rsid w:val="007F056B"/>
    <w:pPr>
      <w:widowControl w:val="0"/>
      <w:autoSpaceDE w:val="0"/>
      <w:autoSpaceDN w:val="0"/>
      <w:spacing w:after="0" w:line="240" w:lineRule="auto"/>
    </w:pPr>
    <w:rPr>
      <w:rFonts w:ascii=".VnTime" w:hAnsi=".VnTime" w:cs="Times New Roman"/>
      <w:sz w:val="26"/>
      <w:szCs w:val="26"/>
    </w:rPr>
  </w:style>
  <w:style w:type="paragraph" w:styleId="BalloonText">
    <w:name w:val="Balloon Text"/>
    <w:basedOn w:val="Normal"/>
    <w:link w:val="BalloonTextChar"/>
    <w:uiPriority w:val="99"/>
    <w:semiHidden/>
    <w:unhideWhenUsed/>
    <w:rsid w:val="006E4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6C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E17"/>
    <w:rPr>
      <w:rFonts w:ascii="Times New Roman" w:eastAsia="Times New Roman" w:hAnsi="Times New Roman"/>
      <w:sz w:val="24"/>
    </w:rPr>
  </w:style>
  <w:style w:type="paragraph" w:styleId="Heading1">
    <w:name w:val="heading 1"/>
    <w:basedOn w:val="ListParagraph"/>
    <w:next w:val="Normal"/>
    <w:link w:val="Heading1Char"/>
    <w:uiPriority w:val="9"/>
    <w:qFormat/>
    <w:rsid w:val="00350E4C"/>
    <w:pPr>
      <w:numPr>
        <w:numId w:val="13"/>
      </w:numPr>
      <w:spacing w:before="120" w:after="0" w:line="240" w:lineRule="auto"/>
      <w:jc w:val="both"/>
      <w:outlineLvl w:val="0"/>
    </w:pPr>
    <w:rPr>
      <w:rFonts w:ascii="OptimaVO" w:hAnsi="OptimaVO"/>
      <w:b/>
      <w:color w:val="8D0E3B"/>
      <w:szCs w:val="24"/>
    </w:rPr>
  </w:style>
  <w:style w:type="paragraph" w:styleId="Heading2">
    <w:name w:val="heading 2"/>
    <w:basedOn w:val="ListParagraph"/>
    <w:next w:val="Normal"/>
    <w:link w:val="Heading2Char"/>
    <w:uiPriority w:val="9"/>
    <w:unhideWhenUsed/>
    <w:qFormat/>
    <w:rsid w:val="007533A1"/>
    <w:pPr>
      <w:numPr>
        <w:numId w:val="18"/>
      </w:numPr>
      <w:spacing w:after="0"/>
      <w:outlineLvl w:val="1"/>
    </w:pPr>
    <w:rPr>
      <w:rFonts w:ascii="OptimaVO" w:hAnsi="OptimaVO"/>
      <w:b/>
      <w:sz w:val="22"/>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OptimaVO" w:eastAsia="Times New Roman" w:hAnsi="OptimaVO"/>
      <w:b/>
      <w:color w:val="8D0E3B"/>
      <w:sz w:val="24"/>
      <w:szCs w:val="24"/>
      <w:lang w:val="en-US"/>
    </w:rPr>
  </w:style>
  <w:style w:type="character" w:customStyle="1" w:styleId="Heading2Char">
    <w:name w:val="Heading 2 Char"/>
    <w:basedOn w:val="DefaultParagraphFont"/>
    <w:link w:val="Heading2"/>
    <w:uiPriority w:val="9"/>
    <w:rsid w:val="00FC693F"/>
    <w:rPr>
      <w:rFonts w:ascii="OptimaVO" w:eastAsia="Times New Roman" w:hAnsi="OptimaVO"/>
      <w:b/>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434B02"/>
    <w:pPr>
      <w:spacing w:after="0" w:line="240" w:lineRule="auto"/>
    </w:pPr>
    <w:rPr>
      <w:rFonts w:ascii="Times New Roman" w:eastAsia="Times New Roman" w:hAnsi="Times New Roman"/>
      <w:sz w:val="24"/>
    </w:rPr>
  </w:style>
  <w:style w:type="character" w:styleId="CommentReference">
    <w:name w:val="annotation reference"/>
    <w:basedOn w:val="DefaultParagraphFont"/>
    <w:uiPriority w:val="99"/>
    <w:semiHidden/>
    <w:unhideWhenUsed/>
    <w:rsid w:val="00985FA2"/>
    <w:rPr>
      <w:sz w:val="16"/>
      <w:szCs w:val="16"/>
    </w:rPr>
  </w:style>
  <w:style w:type="paragraph" w:styleId="CommentText">
    <w:name w:val="annotation text"/>
    <w:basedOn w:val="Normal"/>
    <w:link w:val="CommentTextChar"/>
    <w:uiPriority w:val="99"/>
    <w:unhideWhenUsed/>
    <w:rsid w:val="00985FA2"/>
    <w:pPr>
      <w:spacing w:line="240" w:lineRule="auto"/>
    </w:pPr>
    <w:rPr>
      <w:sz w:val="20"/>
      <w:szCs w:val="20"/>
    </w:rPr>
  </w:style>
  <w:style w:type="character" w:customStyle="1" w:styleId="CommentTextChar">
    <w:name w:val="Comment Text Char"/>
    <w:basedOn w:val="DefaultParagraphFont"/>
    <w:link w:val="CommentText"/>
    <w:uiPriority w:val="99"/>
    <w:rsid w:val="00985FA2"/>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85FA2"/>
    <w:rPr>
      <w:b/>
      <w:bCs/>
    </w:rPr>
  </w:style>
  <w:style w:type="character" w:customStyle="1" w:styleId="CommentSubjectChar">
    <w:name w:val="Comment Subject Char"/>
    <w:basedOn w:val="CommentTextChar"/>
    <w:link w:val="CommentSubject"/>
    <w:uiPriority w:val="99"/>
    <w:semiHidden/>
    <w:rsid w:val="00985FA2"/>
    <w:rPr>
      <w:rFonts w:ascii="Times New Roman" w:eastAsia="Times New Roman" w:hAnsi="Times New Roman"/>
      <w:b/>
      <w:bCs/>
      <w:sz w:val="20"/>
      <w:szCs w:val="20"/>
    </w:rPr>
  </w:style>
  <w:style w:type="character" w:customStyle="1" w:styleId="apple-converted-space">
    <w:name w:val="apple-converted-space"/>
    <w:basedOn w:val="DefaultParagraphFont"/>
    <w:rsid w:val="00E913CF"/>
  </w:style>
  <w:style w:type="character" w:customStyle="1" w:styleId="Vnbnnidung">
    <w:name w:val="Văn bản nội dung_"/>
    <w:link w:val="Vnbnnidung0"/>
    <w:uiPriority w:val="99"/>
    <w:locked/>
    <w:rsid w:val="00972068"/>
    <w:rPr>
      <w:rFonts w:ascii="Times New Roman" w:hAnsi="Times New Roman"/>
      <w:sz w:val="26"/>
      <w:szCs w:val="26"/>
    </w:rPr>
  </w:style>
  <w:style w:type="paragraph" w:customStyle="1" w:styleId="Vnbnnidung0">
    <w:name w:val="Văn bản nội dung"/>
    <w:basedOn w:val="Normal"/>
    <w:link w:val="Vnbnnidung"/>
    <w:uiPriority w:val="99"/>
    <w:rsid w:val="00972068"/>
    <w:pPr>
      <w:widowControl w:val="0"/>
      <w:spacing w:after="100" w:line="259" w:lineRule="auto"/>
      <w:ind w:firstLine="20"/>
    </w:pPr>
    <w:rPr>
      <w:rFonts w:eastAsiaTheme="minorEastAsia"/>
      <w:sz w:val="26"/>
      <w:szCs w:val="26"/>
    </w:rPr>
  </w:style>
  <w:style w:type="paragraph" w:styleId="NormalWeb">
    <w:name w:val="Normal (Web)"/>
    <w:basedOn w:val="Normal"/>
    <w:uiPriority w:val="99"/>
    <w:unhideWhenUsed/>
    <w:rsid w:val="00972068"/>
    <w:pPr>
      <w:spacing w:before="100" w:beforeAutospacing="1" w:after="100" w:afterAutospacing="1" w:line="240" w:lineRule="auto"/>
    </w:pPr>
    <w:rPr>
      <w:rFonts w:cs="Times New Roman"/>
      <w:szCs w:val="24"/>
    </w:rPr>
  </w:style>
  <w:style w:type="paragraph" w:styleId="FootnoteText">
    <w:name w:val="footnote text"/>
    <w:basedOn w:val="Normal"/>
    <w:link w:val="FootnoteTextChar"/>
    <w:uiPriority w:val="99"/>
    <w:unhideWhenUsed/>
    <w:rsid w:val="00640487"/>
    <w:pPr>
      <w:spacing w:after="0" w:line="240" w:lineRule="auto"/>
    </w:pPr>
    <w:rPr>
      <w:sz w:val="20"/>
      <w:szCs w:val="20"/>
    </w:rPr>
  </w:style>
  <w:style w:type="character" w:customStyle="1" w:styleId="FootnoteTextChar">
    <w:name w:val="Footnote Text Char"/>
    <w:basedOn w:val="DefaultParagraphFont"/>
    <w:link w:val="FootnoteText"/>
    <w:uiPriority w:val="99"/>
    <w:rsid w:val="00640487"/>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640487"/>
    <w:rPr>
      <w:vertAlign w:val="superscript"/>
    </w:rPr>
  </w:style>
  <w:style w:type="character" w:customStyle="1" w:styleId="normaltextrun">
    <w:name w:val="normaltextrun"/>
    <w:basedOn w:val="DefaultParagraphFont"/>
    <w:rsid w:val="00DC45A9"/>
  </w:style>
  <w:style w:type="character" w:customStyle="1" w:styleId="eop">
    <w:name w:val="eop"/>
    <w:basedOn w:val="DefaultParagraphFont"/>
    <w:rsid w:val="00DC45A9"/>
  </w:style>
  <w:style w:type="paragraph" w:customStyle="1" w:styleId="abc">
    <w:name w:val="abc"/>
    <w:basedOn w:val="Normal"/>
    <w:rsid w:val="007F056B"/>
    <w:pPr>
      <w:widowControl w:val="0"/>
      <w:autoSpaceDE w:val="0"/>
      <w:autoSpaceDN w:val="0"/>
      <w:spacing w:after="0" w:line="240" w:lineRule="auto"/>
    </w:pPr>
    <w:rPr>
      <w:rFonts w:ascii=".VnTime" w:hAnsi=".VnTime" w:cs="Times New Roman"/>
      <w:sz w:val="26"/>
      <w:szCs w:val="26"/>
    </w:rPr>
  </w:style>
  <w:style w:type="paragraph" w:styleId="BalloonText">
    <w:name w:val="Balloon Text"/>
    <w:basedOn w:val="Normal"/>
    <w:link w:val="BalloonTextChar"/>
    <w:uiPriority w:val="99"/>
    <w:semiHidden/>
    <w:unhideWhenUsed/>
    <w:rsid w:val="006E4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6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F7C894CEB2784C838A3D5E358CBF2D" ma:contentTypeVersion="19" ma:contentTypeDescription="Create a new document." ma:contentTypeScope="" ma:versionID="e63ed1fe9f7333b44e0320fc12291abc">
  <xsd:schema xmlns:xsd="http://www.w3.org/2001/XMLSchema" xmlns:xs="http://www.w3.org/2001/XMLSchema" xmlns:p="http://schemas.microsoft.com/office/2006/metadata/properties" xmlns:ns2="88c39d67-c94a-4c70-b203-8c1f83a3d9d7" xmlns:ns3="2ca5e789-6903-43e1-b6ca-356861f44381" targetNamespace="http://schemas.microsoft.com/office/2006/metadata/properties" ma:root="true" ma:fieldsID="272eb6706c254fb961f6c0716c15dcde" ns2:_="" ns3:_="">
    <xsd:import namespace="88c39d67-c94a-4c70-b203-8c1f83a3d9d7"/>
    <xsd:import namespace="2ca5e789-6903-43e1-b6ca-356861f4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39d67-c94a-4c70-b203-8c1f83a3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c51ce-104e-4360-8733-a2e660b45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5e789-6903-43e1-b6ca-356861f443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d77dac-6e62-44e1-8ea9-81400205517e}" ma:internalName="TaxCatchAll" ma:showField="CatchAllData" ma:web="2ca5e789-6903-43e1-b6ca-356861f4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c39d67-c94a-4c70-b203-8c1f83a3d9d7">
      <Terms xmlns="http://schemas.microsoft.com/office/infopath/2007/PartnerControls"/>
    </lcf76f155ced4ddcb4097134ff3c332f>
    <TaxCatchAll xmlns="2ca5e789-6903-43e1-b6ca-356861f443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021F4-1D0B-47B4-BB34-8B60F2B9D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39d67-c94a-4c70-b203-8c1f83a3d9d7"/>
    <ds:schemaRef ds:uri="2ca5e789-6903-43e1-b6ca-356861f4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E7B4F-96F5-438A-BF0E-F5A4A4C5566D}">
  <ds:schemaRefs>
    <ds:schemaRef ds:uri="http://schemas.microsoft.com/office/2006/metadata/properties"/>
    <ds:schemaRef ds:uri="http://schemas.microsoft.com/office/infopath/2007/PartnerControls"/>
    <ds:schemaRef ds:uri="88c39d67-c94a-4c70-b203-8c1f83a3d9d7"/>
    <ds:schemaRef ds:uri="2ca5e789-6903-43e1-b6ca-356861f44381"/>
  </ds:schemaRefs>
</ds:datastoreItem>
</file>

<file path=customXml/itemProps3.xml><?xml version="1.0" encoding="utf-8"?>
<ds:datastoreItem xmlns:ds="http://schemas.openxmlformats.org/officeDocument/2006/customXml" ds:itemID="{5F89EA1C-377E-41A5-B350-9DBA6DC5622B}">
  <ds:schemaRefs>
    <ds:schemaRef ds:uri="http://schemas.microsoft.com/sharepoint/v3/contenttype/forms"/>
  </ds:schemaRefs>
</ds:datastoreItem>
</file>

<file path=customXml/itemProps4.xml><?xml version="1.0" encoding="utf-8"?>
<ds:datastoreItem xmlns:ds="http://schemas.openxmlformats.org/officeDocument/2006/customXml" ds:itemID="{91252144-396D-4547-B840-F6E319551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8983</Words>
  <Characters>51207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ngocnv@Petrolimex.com.vn</dc:creator>
  <cp:lastModifiedBy>Thuy Hang</cp:lastModifiedBy>
  <cp:revision>2</cp:revision>
  <cp:lastPrinted>2026-03-15T00:50:00Z</cp:lastPrinted>
  <dcterms:created xsi:type="dcterms:W3CDTF">2026-04-06T04:56:00Z</dcterms:created>
  <dcterms:modified xsi:type="dcterms:W3CDTF">2026-04-06T04:56:00Z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45bda0cf-7658-41a4-b309-172b14cf2c71</vt:lpwstr>
  </property>
  <property fmtid="{D5CDD505-2E9C-101B-9397-08002B2CF9AE}" pid="3" name="ContentTypeId">
    <vt:lpwstr>0x01010022F7C894CEB2784C838A3D5E358CBF2D</vt:lpwstr>
  </property>
  <property fmtid="{D5CDD505-2E9C-101B-9397-08002B2CF9AE}" pid="4" name="MediaServiceImageTags">
    <vt:lpwstr/>
  </property>
  <property fmtid="{D5CDD505-2E9C-101B-9397-08002B2CF9AE}" pid="5" name="docLang">
    <vt:lpwstr>vi</vt:lpwstr>
  </property>
</Properties>
</file>