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1"/>
        <w:tblW w:w="103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5654"/>
      </w:tblGrid>
      <w:tr w:rsidR="007B189E" w:rsidRPr="00C6546E" w14:paraId="21824D3F" w14:textId="77777777" w:rsidTr="00A93489">
        <w:trPr>
          <w:trHeight w:val="998"/>
          <w:jc w:val="center"/>
        </w:trPr>
        <w:tc>
          <w:tcPr>
            <w:tcW w:w="4683" w:type="dxa"/>
          </w:tcPr>
          <w:p w14:paraId="5FAB9777" w14:textId="77777777" w:rsidR="008521F9" w:rsidRPr="007B189E" w:rsidRDefault="008521F9" w:rsidP="00A93489">
            <w:pPr>
              <w:spacing w:line="240" w:lineRule="auto"/>
              <w:jc w:val="center"/>
              <w:rPr>
                <w:b/>
                <w:bCs/>
                <w:szCs w:val="26"/>
                <w:lang w:val="vi-VN"/>
              </w:rPr>
            </w:pPr>
            <w:bookmarkStart w:id="0" w:name="_Hlk221518483"/>
            <w:bookmarkStart w:id="1" w:name="_Hlk223462527"/>
            <w:r w:rsidRPr="007B189E">
              <w:rPr>
                <w:b/>
                <w:bCs/>
                <w:szCs w:val="26"/>
                <w:lang w:val="vi-VN"/>
              </w:rPr>
              <w:t>TẬP ĐOÀN XĂNG DẦU VIỆT NAM</w:t>
            </w:r>
          </w:p>
          <w:p w14:paraId="54DE9A7A" w14:textId="77777777" w:rsidR="008521F9" w:rsidRPr="007B189E" w:rsidRDefault="008521F9" w:rsidP="00A93489">
            <w:pPr>
              <w:spacing w:line="240" w:lineRule="auto"/>
              <w:jc w:val="center"/>
              <w:rPr>
                <w:b/>
                <w:bCs/>
                <w:szCs w:val="26"/>
                <w:lang w:val="vi-VN"/>
              </w:rPr>
            </w:pPr>
            <w:r w:rsidRPr="007B189E">
              <w:rPr>
                <w:b/>
                <w:bCs/>
                <w:noProof/>
                <w:szCs w:val="26"/>
                <w:lang w:eastAsia="en-GB"/>
              </w:rPr>
              <mc:AlternateContent>
                <mc:Choice Requires="wps">
                  <w:drawing>
                    <wp:anchor distT="0" distB="0" distL="114300" distR="114300" simplePos="0" relativeHeight="251658241" behindDoc="0" locked="0" layoutInCell="1" allowOverlap="1" wp14:anchorId="5416EFA7" wp14:editId="0EF4C9B0">
                      <wp:simplePos x="0" y="0"/>
                      <wp:positionH relativeFrom="column">
                        <wp:posOffset>713105</wp:posOffset>
                      </wp:positionH>
                      <wp:positionV relativeFrom="paragraph">
                        <wp:posOffset>381635</wp:posOffset>
                      </wp:positionV>
                      <wp:extent cx="141732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41732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99FF6B2" id="Straight Connector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15pt,30.05pt" to="167.7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" strokecolor="windowText" strokeweight="1pt">
                      <v:stroke joinstyle="miter"/>
                    </v:line>
                  </w:pict>
                </mc:Fallback>
              </mc:AlternateContent>
            </w:r>
            <w:r w:rsidRPr="007B189E">
              <w:rPr>
                <w:b/>
                <w:bCs/>
                <w:noProof/>
                <w:szCs w:val="26"/>
                <w:lang w:eastAsia="en-GB"/>
              </w:rPr>
              <w:drawing>
                <wp:inline distT="0" distB="0" distL="0" distR="0" wp14:anchorId="5FEA2D9E" wp14:editId="35E4E795">
                  <wp:extent cx="1573200" cy="378000"/>
                  <wp:effectExtent l="0" t="0" r="0" b="0"/>
                  <wp:docPr id="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rotWithShape="1">
                          <a:blip r:embed="rId11" cstate="print">
                            <a:extLst>
                              <a:ext uri="{28A0092B-C50C-407E-A947-70E740481C1C}">
                                <a14:useLocalDpi xmlns:a14="http://schemas.microsoft.com/office/drawing/2010/main" val="0"/>
                              </a:ext>
                            </a:extLst>
                          </a:blip>
                          <a:srcRect t="14289" b="15655"/>
                          <a:stretch/>
                        </pic:blipFill>
                        <pic:spPr bwMode="auto">
                          <a:xfrm>
                            <a:off x="0" y="0"/>
                            <a:ext cx="1573200" cy="378000"/>
                          </a:xfrm>
                          <a:prstGeom prst="rect">
                            <a:avLst/>
                          </a:prstGeom>
                          <a:ln>
                            <a:noFill/>
                          </a:ln>
                          <a:extLst>
                            <a:ext uri="{53640926-AAD7-44D8-BBD7-CCE9431645EC}">
                              <a14:shadowObscured xmlns:a14="http://schemas.microsoft.com/office/drawing/2010/main"/>
                            </a:ext>
                          </a:extLst>
                        </pic:spPr>
                      </pic:pic>
                    </a:graphicData>
                  </a:graphic>
                </wp:inline>
              </w:drawing>
            </w:r>
          </w:p>
          <w:p w14:paraId="7AD929E3" w14:textId="77777777" w:rsidR="008521F9" w:rsidRPr="007B189E" w:rsidRDefault="008521F9" w:rsidP="00A93489">
            <w:pPr>
              <w:spacing w:line="240" w:lineRule="auto"/>
              <w:jc w:val="center"/>
              <w:rPr>
                <w:b/>
                <w:bCs/>
                <w:szCs w:val="26"/>
                <w:lang w:val="vi-VN"/>
              </w:rPr>
            </w:pPr>
          </w:p>
          <w:p w14:paraId="7828D50F" w14:textId="58336A9E" w:rsidR="008521F9" w:rsidRPr="007B189E" w:rsidRDefault="008521F9" w:rsidP="00A93489">
            <w:pPr>
              <w:spacing w:line="240" w:lineRule="auto"/>
              <w:jc w:val="center"/>
              <w:rPr>
                <w:bCs/>
                <w:szCs w:val="26"/>
              </w:rPr>
            </w:pPr>
          </w:p>
        </w:tc>
        <w:tc>
          <w:tcPr>
            <w:tcW w:w="5654" w:type="dxa"/>
          </w:tcPr>
          <w:p w14:paraId="51829A5B" w14:textId="289F3868" w:rsidR="008521F9" w:rsidRPr="007B189E" w:rsidRDefault="008521F9" w:rsidP="00A93489">
            <w:pPr>
              <w:spacing w:line="240" w:lineRule="auto"/>
              <w:ind w:right="-112"/>
              <w:jc w:val="center"/>
              <w:rPr>
                <w:b/>
                <w:bCs/>
                <w:szCs w:val="26"/>
                <w:lang w:val="vi-VN"/>
              </w:rPr>
            </w:pPr>
            <w:r w:rsidRPr="007B189E">
              <w:rPr>
                <w:b/>
                <w:bCs/>
                <w:szCs w:val="26"/>
                <w:lang w:val="vi-VN"/>
              </w:rPr>
              <w:t>CỘNG H</w:t>
            </w:r>
            <w:r w:rsidR="002D7963" w:rsidRPr="007B189E">
              <w:rPr>
                <w:b/>
                <w:bCs/>
                <w:szCs w:val="26"/>
              </w:rPr>
              <w:t>ÒA</w:t>
            </w:r>
            <w:r w:rsidRPr="007B189E">
              <w:rPr>
                <w:b/>
                <w:bCs/>
                <w:szCs w:val="26"/>
                <w:lang w:val="vi-VN"/>
              </w:rPr>
              <w:t xml:space="preserve"> XÃ HỘI CHỦ NGHĨA VIỆT NAM</w:t>
            </w:r>
          </w:p>
          <w:p w14:paraId="1A688348" w14:textId="6B0A316F" w:rsidR="008521F9" w:rsidRPr="007B189E" w:rsidRDefault="008521F9" w:rsidP="00A93489">
            <w:pPr>
              <w:spacing w:line="240" w:lineRule="auto"/>
              <w:ind w:right="-112"/>
              <w:jc w:val="center"/>
              <w:rPr>
                <w:b/>
                <w:bCs/>
                <w:szCs w:val="26"/>
                <w:lang w:val="vi-VN"/>
              </w:rPr>
            </w:pPr>
            <w:r w:rsidRPr="007B189E">
              <w:rPr>
                <w:b/>
                <w:bCs/>
                <w:szCs w:val="26"/>
                <w:lang w:val="vi-VN"/>
              </w:rPr>
              <w:t>Độc lập</w:t>
            </w:r>
            <w:r w:rsidR="00D85626" w:rsidRPr="007B189E">
              <w:rPr>
                <w:b/>
                <w:bCs/>
                <w:szCs w:val="26"/>
                <w:lang w:val="vi-VN"/>
              </w:rPr>
              <w:t xml:space="preserve"> </w:t>
            </w:r>
            <w:r w:rsidR="00F4398A" w:rsidRPr="007B189E">
              <w:rPr>
                <w:b/>
                <w:bCs/>
                <w:szCs w:val="26"/>
                <w:lang w:val="vi-VN"/>
              </w:rPr>
              <w:t>-</w:t>
            </w:r>
            <w:r w:rsidR="00D85626" w:rsidRPr="007B189E">
              <w:rPr>
                <w:b/>
                <w:bCs/>
                <w:szCs w:val="26"/>
                <w:lang w:val="vi-VN"/>
              </w:rPr>
              <w:t xml:space="preserve"> </w:t>
            </w:r>
            <w:r w:rsidRPr="007B189E">
              <w:rPr>
                <w:b/>
                <w:bCs/>
                <w:szCs w:val="26"/>
                <w:lang w:val="vi-VN"/>
              </w:rPr>
              <w:t>Tự do</w:t>
            </w:r>
            <w:r w:rsidR="00D85626" w:rsidRPr="007B189E">
              <w:rPr>
                <w:b/>
                <w:bCs/>
                <w:szCs w:val="26"/>
                <w:lang w:val="vi-VN"/>
              </w:rPr>
              <w:t xml:space="preserve"> </w:t>
            </w:r>
            <w:r w:rsidR="00F4398A" w:rsidRPr="007B189E">
              <w:rPr>
                <w:b/>
                <w:bCs/>
                <w:szCs w:val="26"/>
                <w:lang w:val="vi-VN"/>
              </w:rPr>
              <w:t>-</w:t>
            </w:r>
            <w:r w:rsidR="00D85626" w:rsidRPr="007B189E">
              <w:rPr>
                <w:b/>
                <w:bCs/>
                <w:szCs w:val="26"/>
                <w:lang w:val="vi-VN"/>
              </w:rPr>
              <w:t xml:space="preserve"> </w:t>
            </w:r>
            <w:r w:rsidRPr="007B189E">
              <w:rPr>
                <w:b/>
                <w:bCs/>
                <w:szCs w:val="26"/>
                <w:lang w:val="vi-VN"/>
              </w:rPr>
              <w:t>Hạnh phúc</w:t>
            </w:r>
          </w:p>
          <w:p w14:paraId="36811C0D" w14:textId="77777777" w:rsidR="008521F9" w:rsidRPr="007B189E" w:rsidRDefault="008521F9" w:rsidP="00A93489">
            <w:pPr>
              <w:spacing w:line="240" w:lineRule="auto"/>
              <w:ind w:right="-112"/>
              <w:jc w:val="center"/>
              <w:rPr>
                <w:b/>
                <w:bCs/>
                <w:szCs w:val="26"/>
                <w:lang w:val="vi-VN"/>
              </w:rPr>
            </w:pPr>
            <w:r w:rsidRPr="007B189E">
              <w:rPr>
                <w:b/>
                <w:bCs/>
                <w:noProof/>
                <w:szCs w:val="26"/>
                <w:lang w:eastAsia="en-GB"/>
              </w:rPr>
              <mc:AlternateContent>
                <mc:Choice Requires="wps">
                  <w:drawing>
                    <wp:anchor distT="0" distB="0" distL="114300" distR="114300" simplePos="0" relativeHeight="251658240" behindDoc="0" locked="0" layoutInCell="1" allowOverlap="1" wp14:anchorId="29950929" wp14:editId="3720EA0C">
                      <wp:simplePos x="0" y="0"/>
                      <wp:positionH relativeFrom="column">
                        <wp:posOffset>725170</wp:posOffset>
                      </wp:positionH>
                      <wp:positionV relativeFrom="paragraph">
                        <wp:posOffset>162560</wp:posOffset>
                      </wp:positionV>
                      <wp:extent cx="205168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5168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81EFE2"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pt,12.8pt" to="218.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" strokecolor="windowText" strokeweight="1pt">
                      <v:stroke joinstyle="miter"/>
                    </v:line>
                  </w:pict>
                </mc:Fallback>
              </mc:AlternateContent>
            </w:r>
          </w:p>
          <w:p w14:paraId="121DEFB9" w14:textId="5F0B18B3" w:rsidR="008521F9" w:rsidRPr="007B189E" w:rsidRDefault="008521F9" w:rsidP="00BE6194">
            <w:pPr>
              <w:spacing w:before="120" w:line="240" w:lineRule="auto"/>
              <w:ind w:right="-113"/>
              <w:jc w:val="right"/>
              <w:rPr>
                <w:szCs w:val="26"/>
                <w:lang w:val="vi-VN"/>
              </w:rPr>
            </w:pPr>
            <w:r w:rsidRPr="007B189E">
              <w:rPr>
                <w:i/>
                <w:iCs/>
                <w:szCs w:val="26"/>
                <w:lang w:val="vi-VN"/>
              </w:rPr>
              <w:t xml:space="preserve">Hà Nội, </w:t>
            </w:r>
            <w:r w:rsidRPr="007B189E">
              <w:rPr>
                <w:rFonts w:eastAsia="Times New Roman"/>
                <w:i/>
                <w:iCs/>
                <w:szCs w:val="26"/>
                <w:lang w:val="vi-VN"/>
              </w:rPr>
              <w:t>ngày</w:t>
            </w:r>
            <w:r w:rsidR="00493FAE" w:rsidRPr="007B189E">
              <w:rPr>
                <w:rFonts w:eastAsia="Times New Roman"/>
                <w:i/>
                <w:iCs/>
                <w:szCs w:val="26"/>
                <w:lang w:val="vi-VN"/>
              </w:rPr>
              <w:t xml:space="preserve"> </w:t>
            </w:r>
            <w:r w:rsidR="00F4398A" w:rsidRPr="007B189E">
              <w:rPr>
                <w:rFonts w:eastAsia="Times New Roman"/>
                <w:b/>
                <w:bCs/>
                <w:i/>
                <w:iCs/>
                <w:szCs w:val="26"/>
                <w:lang w:val="vi-VN"/>
              </w:rPr>
              <w:t>…</w:t>
            </w:r>
            <w:r w:rsidRPr="007B189E">
              <w:rPr>
                <w:rFonts w:eastAsia="Times New Roman"/>
                <w:i/>
                <w:iCs/>
                <w:szCs w:val="26"/>
                <w:lang w:val="vi-VN"/>
              </w:rPr>
              <w:t xml:space="preserve"> tháng </w:t>
            </w:r>
            <w:r w:rsidR="00F4398A" w:rsidRPr="007B189E">
              <w:rPr>
                <w:rFonts w:eastAsia="Times New Roman"/>
                <w:b/>
                <w:bCs/>
                <w:i/>
                <w:iCs/>
                <w:szCs w:val="26"/>
                <w:lang w:val="vi-VN"/>
              </w:rPr>
              <w:t>…</w:t>
            </w:r>
            <w:r w:rsidRPr="007B189E">
              <w:rPr>
                <w:rFonts w:eastAsia="Times New Roman"/>
                <w:i/>
                <w:iCs/>
                <w:szCs w:val="26"/>
                <w:lang w:val="vi-VN"/>
              </w:rPr>
              <w:t xml:space="preserve"> năm </w:t>
            </w:r>
            <w:r w:rsidR="00493FAE" w:rsidRPr="007B189E">
              <w:rPr>
                <w:rFonts w:eastAsia="Times New Roman"/>
                <w:b/>
                <w:bCs/>
                <w:i/>
                <w:iCs/>
                <w:szCs w:val="26"/>
                <w:lang w:val="vi-VN"/>
              </w:rPr>
              <w:t>2026</w:t>
            </w:r>
          </w:p>
        </w:tc>
      </w:tr>
    </w:tbl>
    <w:bookmarkEnd w:id="0"/>
    <w:p w14:paraId="7C39CE90" w14:textId="60424D7E" w:rsidR="00493FAE" w:rsidRPr="007B189E" w:rsidRDefault="00493FAE" w:rsidP="00493FAE">
      <w:pPr>
        <w:spacing w:before="240" w:after="0"/>
        <w:jc w:val="right"/>
        <w:rPr>
          <w:b/>
          <w:i/>
          <w:iCs/>
          <w:sz w:val="28"/>
          <w:szCs w:val="28"/>
          <w:lang w:val="vi-VN"/>
        </w:rPr>
      </w:pPr>
      <w:r w:rsidRPr="007B189E">
        <w:rPr>
          <w:b/>
          <w:i/>
          <w:iCs/>
          <w:sz w:val="28"/>
          <w:szCs w:val="28"/>
          <w:lang w:val="vi-VN"/>
        </w:rPr>
        <w:t>(Dự thảo)</w:t>
      </w:r>
    </w:p>
    <w:p w14:paraId="76E0719E" w14:textId="77777777" w:rsidR="00756C86" w:rsidRPr="007B189E" w:rsidRDefault="00756C86" w:rsidP="002C1D77">
      <w:pPr>
        <w:spacing w:before="60" w:after="0" w:line="240" w:lineRule="auto"/>
        <w:jc w:val="center"/>
        <w:rPr>
          <w:b/>
          <w:sz w:val="28"/>
          <w:szCs w:val="28"/>
          <w:lang w:val="vi-VN"/>
        </w:rPr>
      </w:pPr>
    </w:p>
    <w:p w14:paraId="54AFDA90" w14:textId="6511CC88" w:rsidR="00493FAE" w:rsidRPr="007B189E" w:rsidRDefault="00493FAE" w:rsidP="00756C86">
      <w:pPr>
        <w:spacing w:before="60" w:after="120" w:line="360" w:lineRule="exact"/>
        <w:jc w:val="center"/>
        <w:rPr>
          <w:b/>
          <w:sz w:val="32"/>
          <w:szCs w:val="32"/>
          <w:lang w:val="vi-VN"/>
        </w:rPr>
      </w:pPr>
      <w:r w:rsidRPr="007B189E">
        <w:rPr>
          <w:b/>
          <w:sz w:val="32"/>
          <w:szCs w:val="32"/>
          <w:lang w:val="vi-VN"/>
        </w:rPr>
        <w:t xml:space="preserve">BÁO CÁO </w:t>
      </w:r>
    </w:p>
    <w:p w14:paraId="6DE48709" w14:textId="77777777" w:rsidR="00200FB6" w:rsidRPr="007B189E" w:rsidRDefault="00493FAE" w:rsidP="00EB66DD">
      <w:pPr>
        <w:spacing w:after="0" w:line="240" w:lineRule="auto"/>
        <w:jc w:val="center"/>
        <w:rPr>
          <w:b/>
          <w:sz w:val="28"/>
          <w:szCs w:val="28"/>
          <w:lang w:val="vi-VN"/>
        </w:rPr>
      </w:pPr>
      <w:r w:rsidRPr="007B189E">
        <w:rPr>
          <w:b/>
          <w:sz w:val="28"/>
          <w:szCs w:val="28"/>
          <w:lang w:val="vi-VN"/>
        </w:rPr>
        <w:t>KẾT QUẢ HOẠT Đ</w:t>
      </w:r>
      <w:r w:rsidR="00200FB6" w:rsidRPr="007B189E">
        <w:rPr>
          <w:b/>
          <w:sz w:val="28"/>
          <w:szCs w:val="28"/>
          <w:lang w:val="vi-VN"/>
        </w:rPr>
        <w:t xml:space="preserve">ỘNG NĂM </w:t>
      </w:r>
      <w:r w:rsidRPr="007B189E">
        <w:rPr>
          <w:b/>
          <w:sz w:val="28"/>
          <w:szCs w:val="28"/>
          <w:lang w:val="vi-VN"/>
        </w:rPr>
        <w:t>202</w:t>
      </w:r>
      <w:r w:rsidR="003F221C" w:rsidRPr="007B189E">
        <w:rPr>
          <w:b/>
          <w:sz w:val="28"/>
          <w:szCs w:val="28"/>
          <w:lang w:val="vi-VN"/>
        </w:rPr>
        <w:t>5</w:t>
      </w:r>
      <w:r w:rsidRPr="007B189E">
        <w:rPr>
          <w:b/>
          <w:sz w:val="28"/>
          <w:szCs w:val="28"/>
          <w:lang w:val="vi-VN"/>
        </w:rPr>
        <w:t xml:space="preserve">, KẾ HOẠCH </w:t>
      </w:r>
      <w:r w:rsidR="00200FB6" w:rsidRPr="007B189E">
        <w:rPr>
          <w:b/>
          <w:sz w:val="28"/>
          <w:szCs w:val="28"/>
          <w:lang w:val="vi-VN"/>
        </w:rPr>
        <w:t xml:space="preserve">NĂM </w:t>
      </w:r>
      <w:r w:rsidR="00505981" w:rsidRPr="007B189E">
        <w:rPr>
          <w:b/>
          <w:sz w:val="28"/>
          <w:szCs w:val="28"/>
          <w:lang w:val="vi-VN"/>
        </w:rPr>
        <w:t xml:space="preserve">2026 </w:t>
      </w:r>
    </w:p>
    <w:p w14:paraId="3C6F54DC" w14:textId="0F06ABCC" w:rsidR="00493FAE" w:rsidRPr="007B189E" w:rsidRDefault="00493FAE" w:rsidP="00EB66DD">
      <w:pPr>
        <w:spacing w:after="0" w:line="240" w:lineRule="auto"/>
        <w:jc w:val="center"/>
        <w:rPr>
          <w:b/>
          <w:sz w:val="28"/>
          <w:szCs w:val="28"/>
          <w:lang w:val="vi-VN"/>
        </w:rPr>
      </w:pPr>
      <w:r w:rsidRPr="007B189E">
        <w:rPr>
          <w:b/>
          <w:sz w:val="28"/>
          <w:szCs w:val="28"/>
          <w:lang w:val="vi-VN"/>
        </w:rPr>
        <w:t xml:space="preserve">CỦA </w:t>
      </w:r>
      <w:r w:rsidR="00F4398A" w:rsidRPr="007B189E">
        <w:rPr>
          <w:b/>
          <w:sz w:val="28"/>
          <w:szCs w:val="28"/>
          <w:lang w:val="vi-VN"/>
        </w:rPr>
        <w:t>HĐQT</w:t>
      </w:r>
      <w:r w:rsidRPr="007B189E">
        <w:rPr>
          <w:b/>
          <w:sz w:val="28"/>
          <w:szCs w:val="28"/>
          <w:lang w:val="vi-VN"/>
        </w:rPr>
        <w:t xml:space="preserve"> TẬP ĐOÀN XĂNG DẦU VIỆT NAM</w:t>
      </w:r>
    </w:p>
    <w:p w14:paraId="5FC7AFC3" w14:textId="77777777" w:rsidR="00505981" w:rsidRPr="007B189E" w:rsidRDefault="00505981" w:rsidP="00505981">
      <w:pPr>
        <w:spacing w:before="60" w:after="0" w:line="276" w:lineRule="auto"/>
        <w:jc w:val="center"/>
        <w:rPr>
          <w:b/>
          <w:szCs w:val="26"/>
          <w:lang w:val="vi-VN"/>
        </w:rPr>
      </w:pPr>
    </w:p>
    <w:p w14:paraId="6189A1BF" w14:textId="77777777" w:rsidR="00505981" w:rsidRPr="007B189E" w:rsidRDefault="00505981" w:rsidP="00756C86">
      <w:pPr>
        <w:spacing w:before="60" w:after="60" w:line="360" w:lineRule="exact"/>
        <w:ind w:firstLine="561"/>
        <w:jc w:val="both"/>
        <w:rPr>
          <w:bCs/>
          <w:szCs w:val="26"/>
          <w:lang w:val="vi-VN"/>
        </w:rPr>
      </w:pPr>
      <w:r w:rsidRPr="007B189E">
        <w:rPr>
          <w:bCs/>
          <w:szCs w:val="26"/>
          <w:lang w:val="vi-VN"/>
        </w:rPr>
        <w:t xml:space="preserve">Kính thưa các Quý Cổ đông, các Quý vị đại biểu! </w:t>
      </w:r>
      <w:r w:rsidRPr="007B189E">
        <w:rPr>
          <w:bCs/>
          <w:szCs w:val="26"/>
          <w:lang w:val="vi-VN"/>
        </w:rPr>
        <w:tab/>
      </w:r>
    </w:p>
    <w:p w14:paraId="19E87881" w14:textId="771081C7" w:rsidR="00493FAE" w:rsidRPr="007B189E" w:rsidRDefault="00505981" w:rsidP="00756C86">
      <w:pPr>
        <w:spacing w:before="60" w:after="60" w:line="360" w:lineRule="exact"/>
        <w:ind w:firstLine="561"/>
        <w:jc w:val="both"/>
        <w:rPr>
          <w:bCs/>
          <w:szCs w:val="26"/>
          <w:lang w:val="vi-VN"/>
        </w:rPr>
      </w:pPr>
      <w:r w:rsidRPr="007B189E">
        <w:rPr>
          <w:bCs/>
          <w:szCs w:val="26"/>
          <w:lang w:val="vi-VN"/>
        </w:rPr>
        <w:t xml:space="preserve">Thay mặt Hội đồng quản trị (HĐQT), </w:t>
      </w:r>
      <w:r w:rsidR="006F0B95" w:rsidRPr="007B189E">
        <w:rPr>
          <w:bCs/>
          <w:szCs w:val="26"/>
          <w:lang w:val="vi-VN"/>
        </w:rPr>
        <w:t>T</w:t>
      </w:r>
      <w:r w:rsidRPr="007B189E">
        <w:rPr>
          <w:bCs/>
          <w:szCs w:val="26"/>
          <w:lang w:val="vi-VN"/>
        </w:rPr>
        <w:t xml:space="preserve">ôi xin trình bày báo cáo kết quả hoạt động </w:t>
      </w:r>
      <w:r w:rsidR="006F0B95" w:rsidRPr="007B189E">
        <w:rPr>
          <w:bCs/>
          <w:szCs w:val="26"/>
          <w:lang w:val="vi-VN"/>
        </w:rPr>
        <w:t xml:space="preserve">năm 2025 </w:t>
      </w:r>
      <w:r w:rsidRPr="007B189E">
        <w:rPr>
          <w:bCs/>
          <w:szCs w:val="26"/>
          <w:lang w:val="vi-VN"/>
        </w:rPr>
        <w:t>và kế hoạch</w:t>
      </w:r>
      <w:r w:rsidR="009D2238" w:rsidRPr="007B189E">
        <w:rPr>
          <w:bCs/>
          <w:szCs w:val="26"/>
          <w:lang w:val="vi-VN"/>
        </w:rPr>
        <w:t>,</w:t>
      </w:r>
      <w:r w:rsidRPr="007B189E">
        <w:rPr>
          <w:bCs/>
          <w:szCs w:val="26"/>
          <w:lang w:val="vi-VN"/>
        </w:rPr>
        <w:t xml:space="preserve"> định hướng trong 2026</w:t>
      </w:r>
      <w:r w:rsidR="006F0B95" w:rsidRPr="007B189E">
        <w:rPr>
          <w:bCs/>
          <w:szCs w:val="26"/>
          <w:lang w:val="vi-VN"/>
        </w:rPr>
        <w:t xml:space="preserve"> </w:t>
      </w:r>
      <w:r w:rsidRPr="007B189E">
        <w:rPr>
          <w:bCs/>
          <w:szCs w:val="26"/>
          <w:lang w:val="vi-VN"/>
        </w:rPr>
        <w:t>của Hội đồng quản trị Tập đoàn Xăng dầu Việt Nam như sau:</w:t>
      </w:r>
    </w:p>
    <w:p w14:paraId="31A83B08" w14:textId="5731DC2C" w:rsidR="00505981" w:rsidRPr="007B189E" w:rsidRDefault="00505981" w:rsidP="00756C86">
      <w:pPr>
        <w:spacing w:before="60" w:after="60" w:line="360" w:lineRule="exact"/>
        <w:ind w:firstLine="561"/>
        <w:jc w:val="both"/>
        <w:rPr>
          <w:b/>
          <w:szCs w:val="26"/>
          <w:lang w:val="vi-VN"/>
        </w:rPr>
      </w:pPr>
      <w:r w:rsidRPr="007B189E">
        <w:rPr>
          <w:b/>
          <w:szCs w:val="26"/>
          <w:lang w:val="vi-VN"/>
        </w:rPr>
        <w:t>Tình hình chung</w:t>
      </w:r>
    </w:p>
    <w:p w14:paraId="4AB1BAF1" w14:textId="3FA29BAD" w:rsidR="00E563ED" w:rsidRPr="007B189E" w:rsidRDefault="005C24D2" w:rsidP="008B7B85">
      <w:pPr>
        <w:spacing w:before="60" w:after="60" w:line="360" w:lineRule="exact"/>
        <w:ind w:firstLine="561"/>
        <w:jc w:val="both"/>
        <w:rPr>
          <w:szCs w:val="26"/>
          <w:lang w:val="vi-VN"/>
        </w:rPr>
      </w:pPr>
      <w:r w:rsidRPr="007B189E">
        <w:rPr>
          <w:bCs/>
          <w:szCs w:val="26"/>
          <w:lang w:val="vi-VN"/>
        </w:rPr>
        <w:t xml:space="preserve">Trong năm 2025 </w:t>
      </w:r>
      <w:r w:rsidR="00074F76" w:rsidRPr="007B189E">
        <w:rPr>
          <w:bCs/>
          <w:szCs w:val="26"/>
          <w:lang w:val="vi-VN"/>
        </w:rPr>
        <w:t xml:space="preserve">thế giới tiếp tục </w:t>
      </w:r>
      <w:r w:rsidR="00FF61C4" w:rsidRPr="007B189E">
        <w:rPr>
          <w:bCs/>
          <w:szCs w:val="26"/>
          <w:lang w:val="vi-VN"/>
        </w:rPr>
        <w:t>có</w:t>
      </w:r>
      <w:r w:rsidR="00074F76" w:rsidRPr="007B189E">
        <w:rPr>
          <w:bCs/>
          <w:szCs w:val="26"/>
          <w:lang w:val="vi-VN"/>
        </w:rPr>
        <w:t xml:space="preserve"> nhiều biến động</w:t>
      </w:r>
      <w:r w:rsidR="00FF61C4" w:rsidRPr="007B189E">
        <w:rPr>
          <w:bCs/>
          <w:szCs w:val="26"/>
          <w:lang w:val="vi-VN"/>
        </w:rPr>
        <w:t xml:space="preserve"> nhanh, phức tạp</w:t>
      </w:r>
      <w:r w:rsidR="000014BC" w:rsidRPr="007B189E">
        <w:rPr>
          <w:bCs/>
          <w:szCs w:val="26"/>
          <w:lang w:val="vi-VN"/>
        </w:rPr>
        <w:t>, khó lường</w:t>
      </w:r>
      <w:r w:rsidR="006F0B95" w:rsidRPr="007B189E">
        <w:rPr>
          <w:bCs/>
          <w:szCs w:val="26"/>
          <w:lang w:val="vi-VN"/>
        </w:rPr>
        <w:t>;</w:t>
      </w:r>
      <w:r w:rsidR="00EA1F42" w:rsidRPr="007B189E">
        <w:rPr>
          <w:bCs/>
          <w:szCs w:val="26"/>
          <w:lang w:val="vi-VN"/>
        </w:rPr>
        <w:t xml:space="preserve"> cạnh tranh</w:t>
      </w:r>
      <w:r w:rsidR="006F0B95" w:rsidRPr="007B189E">
        <w:rPr>
          <w:szCs w:val="26"/>
          <w:lang w:val="vi-VN"/>
        </w:rPr>
        <w:t xml:space="preserve"> địa chính trị </w:t>
      </w:r>
      <w:r w:rsidR="00EA1F42" w:rsidRPr="007B189E">
        <w:rPr>
          <w:szCs w:val="26"/>
          <w:lang w:val="vi-VN"/>
        </w:rPr>
        <w:t>diễn ra ngày càng gay gắt</w:t>
      </w:r>
      <w:r w:rsidR="004A79A7" w:rsidRPr="007B189E">
        <w:rPr>
          <w:szCs w:val="26"/>
          <w:lang w:val="vi-VN"/>
        </w:rPr>
        <w:t xml:space="preserve">, xung đột vũ trang tiếp tục xảy ra </w:t>
      </w:r>
      <w:r w:rsidR="00F8202D" w:rsidRPr="007B189E">
        <w:rPr>
          <w:szCs w:val="26"/>
          <w:lang w:val="vi-VN"/>
        </w:rPr>
        <w:t>nhiều</w:t>
      </w:r>
      <w:r w:rsidR="004A79A7" w:rsidRPr="007B189E">
        <w:rPr>
          <w:szCs w:val="26"/>
          <w:lang w:val="vi-VN"/>
        </w:rPr>
        <w:t xml:space="preserve"> nơi trên thế giới. </w:t>
      </w:r>
      <w:r w:rsidR="0072165D" w:rsidRPr="007B189E">
        <w:rPr>
          <w:szCs w:val="26"/>
          <w:lang w:val="vi-VN"/>
        </w:rPr>
        <w:t>Chiến tranh thương mại</w:t>
      </w:r>
      <w:r w:rsidR="00F312C2" w:rsidRPr="007B189E">
        <w:rPr>
          <w:szCs w:val="26"/>
          <w:lang w:val="vi-VN"/>
        </w:rPr>
        <w:t xml:space="preserve"> leo thang</w:t>
      </w:r>
      <w:r w:rsidR="00143ACC" w:rsidRPr="007B189E">
        <w:rPr>
          <w:szCs w:val="26"/>
          <w:lang w:val="vi-VN"/>
        </w:rPr>
        <w:t xml:space="preserve">, cùng chính sách thuế </w:t>
      </w:r>
      <w:r w:rsidR="00775F4D" w:rsidRPr="007B189E">
        <w:rPr>
          <w:szCs w:val="26"/>
          <w:lang w:val="vi-VN"/>
        </w:rPr>
        <w:t xml:space="preserve">của </w:t>
      </w:r>
      <w:r w:rsidR="00794787" w:rsidRPr="007B189E">
        <w:rPr>
          <w:szCs w:val="26"/>
          <w:lang w:val="vi-VN"/>
        </w:rPr>
        <w:t>các nước lớn</w:t>
      </w:r>
      <w:r w:rsidR="00143ACC" w:rsidRPr="007B189E">
        <w:rPr>
          <w:szCs w:val="26"/>
          <w:lang w:val="vi-VN"/>
        </w:rPr>
        <w:t xml:space="preserve"> đã tác động làm</w:t>
      </w:r>
      <w:r w:rsidR="00F312C2" w:rsidRPr="007B189E">
        <w:rPr>
          <w:szCs w:val="26"/>
          <w:lang w:val="vi-VN"/>
        </w:rPr>
        <w:t xml:space="preserve"> </w:t>
      </w:r>
      <w:r w:rsidR="00F23921" w:rsidRPr="007B189E">
        <w:rPr>
          <w:szCs w:val="26"/>
          <w:lang w:val="vi-VN"/>
        </w:rPr>
        <w:t>k</w:t>
      </w:r>
      <w:r w:rsidR="00794787" w:rsidRPr="007B189E">
        <w:rPr>
          <w:szCs w:val="26"/>
          <w:lang w:val="vi-VN"/>
        </w:rPr>
        <w:t>i</w:t>
      </w:r>
      <w:r w:rsidR="00F23921" w:rsidRPr="007B189E">
        <w:rPr>
          <w:szCs w:val="26"/>
          <w:lang w:val="vi-VN"/>
        </w:rPr>
        <w:t>nh tế toàn cầu t</w:t>
      </w:r>
      <w:r w:rsidR="008671B0" w:rsidRPr="007B189E">
        <w:rPr>
          <w:szCs w:val="26"/>
          <w:lang w:val="vi-VN"/>
        </w:rPr>
        <w:t>ă</w:t>
      </w:r>
      <w:r w:rsidR="00F23921" w:rsidRPr="007B189E">
        <w:rPr>
          <w:szCs w:val="26"/>
          <w:lang w:val="vi-VN"/>
        </w:rPr>
        <w:t>ng trưởng chậm lại</w:t>
      </w:r>
      <w:r w:rsidR="00554198" w:rsidRPr="007B189E">
        <w:rPr>
          <w:szCs w:val="26"/>
          <w:lang w:val="vi-VN"/>
        </w:rPr>
        <w:t xml:space="preserve">, lạm phát có xu hướng </w:t>
      </w:r>
      <w:r w:rsidR="00794787" w:rsidRPr="007B189E">
        <w:rPr>
          <w:szCs w:val="26"/>
          <w:lang w:val="vi-VN"/>
        </w:rPr>
        <w:t>t</w:t>
      </w:r>
      <w:r w:rsidR="008671B0" w:rsidRPr="007B189E">
        <w:rPr>
          <w:szCs w:val="26"/>
          <w:lang w:val="vi-VN"/>
        </w:rPr>
        <w:t>ă</w:t>
      </w:r>
      <w:r w:rsidR="00794787" w:rsidRPr="007B189E">
        <w:rPr>
          <w:szCs w:val="26"/>
          <w:lang w:val="vi-VN"/>
        </w:rPr>
        <w:t>ng.</w:t>
      </w:r>
      <w:r w:rsidR="00554198" w:rsidRPr="007B189E">
        <w:rPr>
          <w:szCs w:val="26"/>
          <w:lang w:val="vi-VN"/>
        </w:rPr>
        <w:t xml:space="preserve"> </w:t>
      </w:r>
      <w:r w:rsidR="00354FB9" w:rsidRPr="007B189E">
        <w:rPr>
          <w:szCs w:val="26"/>
          <w:lang w:val="vi-VN"/>
        </w:rPr>
        <w:t xml:space="preserve">Thị trường dầu thế giới chịu tác động bởi </w:t>
      </w:r>
      <w:r w:rsidR="006F0B95" w:rsidRPr="007B189E">
        <w:rPr>
          <w:szCs w:val="26"/>
          <w:lang w:val="vi-VN"/>
        </w:rPr>
        <w:t xml:space="preserve">diễn biến xung đột </w:t>
      </w:r>
      <w:r w:rsidR="00E563ED" w:rsidRPr="007B189E">
        <w:rPr>
          <w:szCs w:val="26"/>
          <w:lang w:val="vi-VN"/>
        </w:rPr>
        <w:t xml:space="preserve">tại khu vực Trung Đông, </w:t>
      </w:r>
      <w:r w:rsidR="00E563ED" w:rsidRPr="007B189E">
        <w:rPr>
          <w:bCs/>
          <w:szCs w:val="26"/>
          <w:lang w:val="vi-VN"/>
        </w:rPr>
        <w:t>chính sách điều tiết sản lượng của các nước xuất khẩu dầu lớn và những thay đổi trong chiến lược năng lượng của các quốc gia. Bên cạnh đó, xu hướng chuyển dịch năng lượng theo hướng năng lượng mới và bền vững đang diễn ra ngày càng rõ nét, đặt ra yêu cầu mới đối với các doanh nghiệp kinh doanh xăng dầu trong việc thích ứng với những thay đổi của thị trường toàn cầu.</w:t>
      </w:r>
    </w:p>
    <w:p w14:paraId="0790B338" w14:textId="4BF0B5F6" w:rsidR="00D96E36" w:rsidRPr="007B189E" w:rsidRDefault="00D96E36" w:rsidP="00756C86">
      <w:pPr>
        <w:spacing w:before="60" w:after="60" w:line="360" w:lineRule="exact"/>
        <w:ind w:firstLine="561"/>
        <w:jc w:val="both"/>
        <w:rPr>
          <w:bCs/>
          <w:szCs w:val="26"/>
          <w:lang w:val="vi-VN"/>
        </w:rPr>
      </w:pPr>
      <w:r w:rsidRPr="007B189E">
        <w:rPr>
          <w:bCs/>
          <w:szCs w:val="26"/>
          <w:lang w:val="vi-VN"/>
        </w:rPr>
        <w:t>Kinh tế Việt Nam năm 2025 ghi nhận xu hướng phát triển mạnh mẽ với tốc độ tăng trưởng GDP ước đạt </w:t>
      </w:r>
      <w:r w:rsidRPr="007B189E">
        <w:rPr>
          <w:b/>
          <w:bCs/>
          <w:szCs w:val="26"/>
          <w:lang w:val="vi-VN"/>
        </w:rPr>
        <w:t>8,02%</w:t>
      </w:r>
      <w:r w:rsidRPr="007B189E">
        <w:rPr>
          <w:bCs/>
          <w:szCs w:val="26"/>
          <w:lang w:val="vi-VN"/>
        </w:rPr>
        <w:t>. Quy mô GDP vượt 514 tỷ USD, GDP bình quân đầu người đạt 5.026 USD/người/năm</w:t>
      </w:r>
      <w:r w:rsidR="00DB2A74" w:rsidRPr="007B189E">
        <w:rPr>
          <w:bCs/>
          <w:szCs w:val="26"/>
          <w:lang w:val="vi-VN"/>
        </w:rPr>
        <w:t xml:space="preserve">. Kết quả tích cực của nền kinh tế đã kéo theo </w:t>
      </w:r>
      <w:r w:rsidR="002B2FD8" w:rsidRPr="007B189E">
        <w:rPr>
          <w:bCs/>
          <w:szCs w:val="26"/>
          <w:lang w:val="vi-VN"/>
        </w:rPr>
        <w:t xml:space="preserve">sự tăng trưởng </w:t>
      </w:r>
      <w:r w:rsidR="007A7A8C" w:rsidRPr="007B189E">
        <w:rPr>
          <w:bCs/>
          <w:szCs w:val="26"/>
          <w:lang w:val="vi-VN"/>
        </w:rPr>
        <w:t xml:space="preserve">mạnh mẽ của </w:t>
      </w:r>
      <w:r w:rsidR="00134B2C" w:rsidRPr="007B189E">
        <w:rPr>
          <w:bCs/>
          <w:szCs w:val="26"/>
          <w:lang w:val="vi-VN"/>
        </w:rPr>
        <w:t>hoạt động giao thông vận tải, nhu cầu về nhiên liệu tăng cao</w:t>
      </w:r>
      <w:r w:rsidR="006E3415" w:rsidRPr="007B189E">
        <w:rPr>
          <w:rStyle w:val="FootnoteReference"/>
          <w:bCs/>
          <w:szCs w:val="26"/>
        </w:rPr>
        <w:footnoteReference w:id="1"/>
      </w:r>
    </w:p>
    <w:p w14:paraId="502BA760" w14:textId="64B5F5F4" w:rsidR="00A057E7" w:rsidRPr="007B189E" w:rsidRDefault="00A057E7" w:rsidP="00756C86">
      <w:pPr>
        <w:spacing w:before="60" w:after="60" w:line="360" w:lineRule="exact"/>
        <w:ind w:firstLine="561"/>
        <w:jc w:val="both"/>
        <w:rPr>
          <w:bCs/>
          <w:szCs w:val="26"/>
          <w:lang w:val="vi-VN"/>
        </w:rPr>
      </w:pPr>
      <w:r w:rsidRPr="007B189E">
        <w:rPr>
          <w:bCs/>
          <w:szCs w:val="26"/>
          <w:lang w:val="vi-VN"/>
        </w:rPr>
        <w:t xml:space="preserve">Trong bối cảnh đó, </w:t>
      </w:r>
      <w:r w:rsidR="00BD315C" w:rsidRPr="007B189E">
        <w:rPr>
          <w:bCs/>
          <w:szCs w:val="26"/>
          <w:lang w:val="vi-VN"/>
        </w:rPr>
        <w:t>HĐQT</w:t>
      </w:r>
      <w:r w:rsidR="00225A29" w:rsidRPr="007B189E">
        <w:rPr>
          <w:bCs/>
          <w:szCs w:val="26"/>
          <w:lang w:val="vi-VN"/>
        </w:rPr>
        <w:t xml:space="preserve"> </w:t>
      </w:r>
      <w:r w:rsidRPr="007B189E">
        <w:rPr>
          <w:bCs/>
          <w:szCs w:val="26"/>
          <w:lang w:val="vi-VN"/>
        </w:rPr>
        <w:t xml:space="preserve">Petrolimex </w:t>
      </w:r>
      <w:r w:rsidR="00BD315C" w:rsidRPr="007B189E">
        <w:rPr>
          <w:bCs/>
          <w:szCs w:val="26"/>
          <w:lang w:val="vi-VN"/>
        </w:rPr>
        <w:t>luôn</w:t>
      </w:r>
      <w:r w:rsidRPr="007B189E">
        <w:rPr>
          <w:bCs/>
          <w:szCs w:val="26"/>
          <w:lang w:val="vi-VN"/>
        </w:rPr>
        <w:t xml:space="preserve"> bám sát </w:t>
      </w:r>
      <w:r w:rsidR="00BD315C" w:rsidRPr="007B189E">
        <w:rPr>
          <w:bCs/>
          <w:szCs w:val="26"/>
          <w:lang w:val="vi-VN"/>
        </w:rPr>
        <w:t xml:space="preserve">tình hình </w:t>
      </w:r>
      <w:r w:rsidR="00C73510" w:rsidRPr="007B189E">
        <w:rPr>
          <w:bCs/>
          <w:szCs w:val="26"/>
          <w:lang w:val="vi-VN"/>
        </w:rPr>
        <w:t xml:space="preserve">thực tiễn, </w:t>
      </w:r>
      <w:r w:rsidRPr="007B189E">
        <w:rPr>
          <w:bCs/>
          <w:szCs w:val="26"/>
          <w:lang w:val="vi-VN"/>
        </w:rPr>
        <w:t xml:space="preserve">các chỉ đạo của </w:t>
      </w:r>
      <w:r w:rsidR="009C4B56" w:rsidRPr="007B189E">
        <w:rPr>
          <w:bCs/>
          <w:szCs w:val="26"/>
          <w:lang w:val="vi-VN"/>
        </w:rPr>
        <w:t xml:space="preserve">các cấp có thẩm quyền, </w:t>
      </w:r>
      <w:r w:rsidR="00F42EDE" w:rsidRPr="007B189E">
        <w:rPr>
          <w:bCs/>
          <w:szCs w:val="26"/>
          <w:lang w:val="vi-VN"/>
        </w:rPr>
        <w:t>đã quyết liệt tổ chức thực hiện đồng bộ các giải pháp</w:t>
      </w:r>
      <w:r w:rsidR="00102926" w:rsidRPr="007B189E">
        <w:rPr>
          <w:bCs/>
          <w:szCs w:val="26"/>
          <w:lang w:val="vi-VN"/>
        </w:rPr>
        <w:t xml:space="preserve"> nhằm hoàn</w:t>
      </w:r>
      <w:r w:rsidR="006056CA" w:rsidRPr="007B189E">
        <w:rPr>
          <w:bCs/>
          <w:szCs w:val="26"/>
          <w:lang w:val="vi-VN"/>
        </w:rPr>
        <w:t xml:space="preserve"> thành</w:t>
      </w:r>
      <w:r w:rsidR="00102926" w:rsidRPr="007B189E">
        <w:rPr>
          <w:bCs/>
          <w:szCs w:val="26"/>
          <w:lang w:val="vi-VN"/>
        </w:rPr>
        <w:t xml:space="preserve"> các chỉ tiêu </w:t>
      </w:r>
      <w:r w:rsidR="009C4B56" w:rsidRPr="007B189E">
        <w:rPr>
          <w:bCs/>
          <w:szCs w:val="26"/>
          <w:lang w:val="vi-VN"/>
        </w:rPr>
        <w:t>Nghị quyết Đại hội đồng cổ đông thường niên năm 202</w:t>
      </w:r>
      <w:r w:rsidR="00ED664F" w:rsidRPr="007B189E">
        <w:rPr>
          <w:bCs/>
          <w:szCs w:val="26"/>
          <w:lang w:val="vi-VN"/>
        </w:rPr>
        <w:t>5</w:t>
      </w:r>
      <w:r w:rsidR="00102926" w:rsidRPr="007B189E">
        <w:rPr>
          <w:bCs/>
          <w:szCs w:val="26"/>
          <w:lang w:val="vi-VN"/>
        </w:rPr>
        <w:t xml:space="preserve">, đảm bảo </w:t>
      </w:r>
      <w:r w:rsidR="000F571C" w:rsidRPr="007B189E">
        <w:rPr>
          <w:bCs/>
          <w:szCs w:val="26"/>
          <w:lang w:val="vi-VN"/>
        </w:rPr>
        <w:t>an ninh năng lượng</w:t>
      </w:r>
      <w:r w:rsidR="00E51A06" w:rsidRPr="007B189E">
        <w:rPr>
          <w:bCs/>
          <w:szCs w:val="26"/>
          <w:lang w:val="vi-VN"/>
        </w:rPr>
        <w:t>đáp ứng đủ nguồn cung xăng dầu phục vụ phát</w:t>
      </w:r>
      <w:r w:rsidR="00ED664F" w:rsidRPr="007B189E">
        <w:rPr>
          <w:bCs/>
          <w:szCs w:val="26"/>
          <w:lang w:val="vi-VN"/>
        </w:rPr>
        <w:t xml:space="preserve"> </w:t>
      </w:r>
      <w:r w:rsidRPr="007B189E">
        <w:rPr>
          <w:bCs/>
          <w:szCs w:val="26"/>
          <w:lang w:val="vi-VN"/>
        </w:rPr>
        <w:t xml:space="preserve">thực hiện nghiêm </w:t>
      </w:r>
      <w:r w:rsidRPr="007B189E">
        <w:rPr>
          <w:bCs/>
          <w:szCs w:val="26"/>
          <w:lang w:val="vi-VN"/>
        </w:rPr>
        <w:lastRenderedPageBreak/>
        <w:t>vai trò doanh nghiệp Nhà nước giữ vị trí chủ đạo trong hệ thống phân phối xăng dầu cả nước.</w:t>
      </w:r>
    </w:p>
    <w:p w14:paraId="21A3DFF5" w14:textId="5E71543A" w:rsidR="00505981" w:rsidRPr="007B189E" w:rsidRDefault="00505981" w:rsidP="00756C86">
      <w:pPr>
        <w:spacing w:before="60" w:after="60" w:line="360" w:lineRule="exact"/>
        <w:ind w:firstLine="561"/>
        <w:jc w:val="both"/>
        <w:rPr>
          <w:b/>
          <w:szCs w:val="26"/>
          <w:lang w:val="vi-VN"/>
        </w:rPr>
      </w:pPr>
      <w:r w:rsidRPr="007B189E">
        <w:rPr>
          <w:b/>
          <w:szCs w:val="26"/>
          <w:lang w:val="vi-VN"/>
        </w:rPr>
        <w:t>I. HOẠT ĐỘNG CỦA HỘI ĐỒNG QUẢN TRỊ</w:t>
      </w:r>
      <w:r w:rsidR="003F221C" w:rsidRPr="007B189E">
        <w:rPr>
          <w:b/>
          <w:szCs w:val="26"/>
          <w:lang w:val="vi-VN"/>
        </w:rPr>
        <w:t xml:space="preserve"> </w:t>
      </w:r>
      <w:r w:rsidRPr="007B189E">
        <w:rPr>
          <w:b/>
          <w:szCs w:val="26"/>
          <w:lang w:val="vi-VN"/>
        </w:rPr>
        <w:t>NĂM 202</w:t>
      </w:r>
      <w:r w:rsidR="003F221C" w:rsidRPr="007B189E">
        <w:rPr>
          <w:b/>
          <w:szCs w:val="26"/>
          <w:lang w:val="vi-VN"/>
        </w:rPr>
        <w:t>5</w:t>
      </w:r>
    </w:p>
    <w:p w14:paraId="26D37BB8" w14:textId="371EFCCC" w:rsidR="00505981" w:rsidRPr="007B189E" w:rsidRDefault="00505981" w:rsidP="00756C86">
      <w:pPr>
        <w:spacing w:before="60" w:after="60" w:line="360" w:lineRule="exact"/>
        <w:ind w:firstLine="561"/>
        <w:jc w:val="both"/>
        <w:rPr>
          <w:b/>
          <w:i/>
          <w:iCs/>
          <w:szCs w:val="26"/>
          <w:lang w:val="vi-VN"/>
        </w:rPr>
      </w:pPr>
      <w:r w:rsidRPr="007B189E">
        <w:rPr>
          <w:b/>
          <w:szCs w:val="26"/>
          <w:lang w:val="vi-VN"/>
        </w:rPr>
        <w:t>1. Về hoạt động của Hội đồng quản trị Tập đoàn</w:t>
      </w:r>
    </w:p>
    <w:p w14:paraId="1DF1508F" w14:textId="3DB00571" w:rsidR="006532BE" w:rsidRPr="007B189E" w:rsidRDefault="006532BE" w:rsidP="00756C86">
      <w:pPr>
        <w:spacing w:before="60" w:after="60" w:line="360" w:lineRule="exact"/>
        <w:ind w:firstLine="561"/>
        <w:jc w:val="both"/>
        <w:rPr>
          <w:b/>
          <w:szCs w:val="26"/>
          <w:lang w:val="vi-VN"/>
        </w:rPr>
      </w:pPr>
      <w:r w:rsidRPr="007B189E">
        <w:rPr>
          <w:b/>
          <w:szCs w:val="26"/>
          <w:lang w:val="vi-VN"/>
        </w:rPr>
        <w:t>1.</w:t>
      </w:r>
      <w:r w:rsidR="00FA2D46" w:rsidRPr="007B189E">
        <w:rPr>
          <w:b/>
          <w:szCs w:val="26"/>
          <w:lang w:val="vi-VN"/>
        </w:rPr>
        <w:t>1.</w:t>
      </w:r>
      <w:r w:rsidRPr="007B189E">
        <w:rPr>
          <w:b/>
          <w:szCs w:val="26"/>
          <w:lang w:val="vi-VN"/>
        </w:rPr>
        <w:t xml:space="preserve"> Kết quả hoạt động</w:t>
      </w:r>
    </w:p>
    <w:p w14:paraId="7D032F11" w14:textId="2138D973" w:rsidR="003A41D6" w:rsidRPr="007B189E" w:rsidRDefault="003A41D6" w:rsidP="00756C86">
      <w:pPr>
        <w:spacing w:before="60" w:after="60" w:line="360" w:lineRule="exact"/>
        <w:ind w:firstLine="561"/>
        <w:jc w:val="both"/>
        <w:rPr>
          <w:bCs/>
          <w:szCs w:val="26"/>
          <w:lang w:val="vi-VN"/>
        </w:rPr>
      </w:pPr>
      <w:r w:rsidRPr="007B189E">
        <w:rPr>
          <w:bCs/>
          <w:szCs w:val="26"/>
          <w:lang w:val="vi-VN"/>
        </w:rPr>
        <w:t>Trong năm 2025, thực hiện quy định tại Luật Doanh nghiệp, Điều lệ Petrolimex và Quy chế hoạt động của HĐQT, HĐQT Tập đoàn đã tổ chức 09 phiên họp định kỳ và 02 phiên họp bất thường, tổ chức lấy ý kiến bằng phiếu 123 lần; ban hành 443 Nghị quyết.</w:t>
      </w:r>
    </w:p>
    <w:p w14:paraId="782ADA3B" w14:textId="45D6A94D" w:rsidR="003A41D6" w:rsidRPr="007B189E" w:rsidRDefault="0046300E" w:rsidP="0046300E">
      <w:pPr>
        <w:spacing w:before="60" w:after="60" w:line="360" w:lineRule="exact"/>
        <w:ind w:firstLine="561"/>
        <w:jc w:val="both"/>
        <w:rPr>
          <w:bCs/>
          <w:szCs w:val="26"/>
          <w:lang w:val="vi-VN"/>
        </w:rPr>
      </w:pPr>
      <w:r w:rsidRPr="007B189E">
        <w:rPr>
          <w:bCs/>
          <w:szCs w:val="26"/>
          <w:lang w:val="vi-VN"/>
        </w:rPr>
        <w:t>Hội đồng quản trị Tập đoàn</w:t>
      </w:r>
      <w:r w:rsidR="003A41D6" w:rsidRPr="007B189E">
        <w:rPr>
          <w:bCs/>
          <w:szCs w:val="26"/>
          <w:lang w:val="vi-VN"/>
        </w:rPr>
        <w:t xml:space="preserve"> đã tập trung giải quyết các vấn đề trọng tâm sau: chỉ đạo thực hiện các nghị quyết của ĐHĐCĐ thường niên năm 2025; xây dựng và triển khai kế hoạch SXKD năm 2025;</w:t>
      </w:r>
      <w:r w:rsidR="00E00AF7" w:rsidRPr="007B189E">
        <w:rPr>
          <w:lang w:val="vi-VN"/>
        </w:rPr>
        <w:t xml:space="preserve"> </w:t>
      </w:r>
      <w:r w:rsidR="00E00AF7" w:rsidRPr="007B189E">
        <w:rPr>
          <w:bCs/>
          <w:szCs w:val="26"/>
          <w:lang w:val="vi-VN"/>
        </w:rPr>
        <w:t>chỉ đạo công tác tổ chức cán bộ,</w:t>
      </w:r>
      <w:r w:rsidR="00E00AF7" w:rsidRPr="007B189E">
        <w:rPr>
          <w:lang w:val="vi-VN"/>
        </w:rPr>
        <w:t xml:space="preserve"> </w:t>
      </w:r>
      <w:r w:rsidR="00970A2D" w:rsidRPr="007B189E">
        <w:rPr>
          <w:bCs/>
          <w:szCs w:val="26"/>
          <w:lang w:val="vi-VN"/>
        </w:rPr>
        <w:t>tiếp tục triển khai Đề án cơ cấu lại Tập đoàn Xăng dầu Việt Nam theo quy định của Chính phủ, Bộ Tài chín</w:t>
      </w:r>
      <w:r w:rsidRPr="007B189E">
        <w:rPr>
          <w:bCs/>
          <w:szCs w:val="26"/>
          <w:lang w:val="vi-VN"/>
        </w:rPr>
        <w:t>h;</w:t>
      </w:r>
      <w:r w:rsidRPr="007B189E">
        <w:rPr>
          <w:lang w:val="vi-VN"/>
        </w:rPr>
        <w:t xml:space="preserve"> </w:t>
      </w:r>
      <w:r w:rsidRPr="007B189E">
        <w:rPr>
          <w:bCs/>
          <w:szCs w:val="26"/>
          <w:lang w:val="vi-VN"/>
        </w:rPr>
        <w:t>quyết liệt triển khai các nội dung về phương án sáp nhập, hợp nhất, sắp xếp lại các công ty xăng dầu, điều chỉnh vốn điều lệ, thoái vốn tại một số doanh nghiệp, tổ chức lại mô hình hoạt động của các đơn vị trực thuộc;</w:t>
      </w:r>
      <w:r w:rsidRPr="007B189E">
        <w:rPr>
          <w:lang w:val="vi-VN"/>
        </w:rPr>
        <w:t xml:space="preserve"> </w:t>
      </w:r>
      <w:r w:rsidRPr="007B189E">
        <w:rPr>
          <w:bCs/>
          <w:szCs w:val="26"/>
          <w:lang w:val="vi-VN"/>
        </w:rPr>
        <w:t xml:space="preserve">chỉ đạo các nội dung hợp tác với các đối tác trong và ngoài nước, nghiên cứu các mô hình kinh doanh mới như triển khai các dịch vụ giá trị gia tăng tại cửa hàng xăng dầu, nghiên cứu các giải pháp năng lượng mới, năng lượng tái tạo; chỉ đạo triển khai các </w:t>
      </w:r>
      <w:r w:rsidRPr="007B189E">
        <w:rPr>
          <w:lang w:val="vi-VN"/>
        </w:rPr>
        <w:t>dự án xây dựng trụ sở, kho xăng dầu, hệ thống hạ tầng logistics, phương tiện vận tải và hệ thống công nghệ quản lý trong toàn hệ thống;</w:t>
      </w:r>
      <w:r w:rsidRPr="007B189E">
        <w:rPr>
          <w:bCs/>
          <w:szCs w:val="26"/>
          <w:lang w:val="vi-VN"/>
        </w:rPr>
        <w:t xml:space="preserve"> thông qua chủ trương định vị lại thương hiệu và triển khai hệ thống nhận diện thương hiệu mới của Petrolimex, tạo nền tảng cho chiến lược phát triển dài hạn của Tập đoàn.</w:t>
      </w:r>
    </w:p>
    <w:p w14:paraId="67B7092D" w14:textId="52D697B3" w:rsidR="000835B4" w:rsidRPr="007B189E" w:rsidRDefault="00505981" w:rsidP="00756C86">
      <w:pPr>
        <w:spacing w:before="60" w:after="60" w:line="360" w:lineRule="exact"/>
        <w:ind w:firstLine="561"/>
        <w:jc w:val="both"/>
        <w:rPr>
          <w:b/>
          <w:i/>
          <w:iCs/>
          <w:szCs w:val="26"/>
          <w:lang w:val="vi-VN"/>
        </w:rPr>
      </w:pPr>
      <w:r w:rsidRPr="007B189E">
        <w:rPr>
          <w:b/>
          <w:szCs w:val="26"/>
          <w:lang w:val="vi-VN"/>
        </w:rPr>
        <w:t>1.2</w:t>
      </w:r>
      <w:r w:rsidR="00FA2D46" w:rsidRPr="007B189E">
        <w:rPr>
          <w:b/>
          <w:szCs w:val="26"/>
          <w:lang w:val="vi-VN"/>
        </w:rPr>
        <w:t>.</w:t>
      </w:r>
      <w:r w:rsidRPr="007B189E">
        <w:rPr>
          <w:b/>
          <w:szCs w:val="26"/>
          <w:lang w:val="vi-VN"/>
        </w:rPr>
        <w:t xml:space="preserve"> Đánh giá về kết quả hoạt độn</w:t>
      </w:r>
      <w:r w:rsidR="003F221C" w:rsidRPr="007B189E">
        <w:rPr>
          <w:b/>
          <w:szCs w:val="26"/>
          <w:lang w:val="vi-VN"/>
        </w:rPr>
        <w:t>g</w:t>
      </w:r>
      <w:r w:rsidR="00F47266" w:rsidRPr="007B189E">
        <w:rPr>
          <w:lang w:val="vi-VN"/>
        </w:rPr>
        <w:t xml:space="preserve"> </w:t>
      </w:r>
      <w:r w:rsidR="008770CA" w:rsidRPr="007B189E">
        <w:rPr>
          <w:b/>
          <w:szCs w:val="26"/>
          <w:lang w:val="vi-VN"/>
        </w:rPr>
        <w:t xml:space="preserve">năm </w:t>
      </w:r>
      <w:r w:rsidR="00F47266" w:rsidRPr="007B189E">
        <w:rPr>
          <w:b/>
          <w:szCs w:val="26"/>
          <w:lang w:val="vi-VN"/>
        </w:rPr>
        <w:t>2025</w:t>
      </w:r>
    </w:p>
    <w:p w14:paraId="7834EECD" w14:textId="5DE75D3E" w:rsidR="0046300E" w:rsidRPr="007B189E" w:rsidRDefault="0046300E" w:rsidP="00756C86">
      <w:pPr>
        <w:spacing w:before="60" w:after="60" w:line="360" w:lineRule="exact"/>
        <w:ind w:firstLine="561"/>
        <w:jc w:val="both"/>
        <w:rPr>
          <w:bCs/>
          <w:szCs w:val="26"/>
          <w:lang w:val="vi-VN"/>
        </w:rPr>
      </w:pPr>
      <w:r w:rsidRPr="007B189E">
        <w:rPr>
          <w:bCs/>
          <w:spacing w:val="-2"/>
          <w:szCs w:val="26"/>
          <w:lang w:val="vi-VN"/>
        </w:rPr>
        <w:t>Năm 2025, HĐQT Tập đoàn đã thực hiện đầy đủ trách nhiệm, quyền hạn theo quy định. Trên cơ sở bám sát Nghị quyết ĐHĐCĐ năm 2025 đồng thời và bám sát diễn biến của thị trường năng lượng trong nước và quốc tế, HĐQT đã lãnh đạo và chỉ đạo triển khai các giải pháp đồng bộ, vượt qua những khó khăn thách thức, từ đó hoàn thành các chỉ tiêu kế hoạch được giao và các nội dung đã được ĐHĐCĐ thường niên 2025 thông qua</w:t>
      </w:r>
      <w:r w:rsidRPr="007B189E">
        <w:rPr>
          <w:bCs/>
          <w:szCs w:val="26"/>
          <w:lang w:val="vi-VN"/>
        </w:rPr>
        <w:t>.</w:t>
      </w:r>
    </w:p>
    <w:p w14:paraId="2A195990" w14:textId="319606DD" w:rsidR="00AA6633" w:rsidRPr="007B189E" w:rsidRDefault="00AA6633" w:rsidP="00756C86">
      <w:pPr>
        <w:spacing w:before="60" w:after="60" w:line="360" w:lineRule="exact"/>
        <w:ind w:firstLine="561"/>
        <w:jc w:val="both"/>
        <w:rPr>
          <w:bCs/>
          <w:szCs w:val="26"/>
          <w:lang w:val="vi-VN"/>
        </w:rPr>
      </w:pPr>
      <w:r w:rsidRPr="007B189E">
        <w:rPr>
          <w:bCs/>
          <w:szCs w:val="26"/>
          <w:lang w:val="vi-VN"/>
        </w:rPr>
        <w:t>Nhìn chung, trong năm 2025, Hội đồng quản trị đã hoàn thành tốt vai trò lãnh đạo và định hướng chiến lược, góp phần quan trọng vào việc thực hiện thành công các mục tiêu sản xuất kinh doanh của Tập đoàn, đồng thời tạo tiền đề vững chắc cho giai đoạn phát triển tiếp theo.</w:t>
      </w:r>
    </w:p>
    <w:p w14:paraId="110189A9" w14:textId="0F7FFF9E" w:rsidR="00F35E43" w:rsidRPr="007B189E" w:rsidRDefault="00505981" w:rsidP="00756C86">
      <w:pPr>
        <w:spacing w:before="60" w:after="60" w:line="360" w:lineRule="exact"/>
        <w:ind w:firstLine="561"/>
        <w:jc w:val="both"/>
        <w:rPr>
          <w:b/>
          <w:i/>
          <w:iCs/>
          <w:szCs w:val="26"/>
          <w:lang w:val="vi-VN"/>
        </w:rPr>
      </w:pPr>
      <w:r w:rsidRPr="007B189E">
        <w:rPr>
          <w:b/>
          <w:szCs w:val="26"/>
          <w:lang w:val="vi-VN"/>
        </w:rPr>
        <w:t>2. Kết quả hoạt động của Tập đoàn</w:t>
      </w:r>
      <w:r w:rsidR="00F35E43" w:rsidRPr="007B189E">
        <w:rPr>
          <w:b/>
          <w:szCs w:val="26"/>
          <w:lang w:val="vi-VN"/>
        </w:rPr>
        <w:t xml:space="preserve"> </w:t>
      </w:r>
    </w:p>
    <w:p w14:paraId="42B289E2" w14:textId="0C6590E7" w:rsidR="0062562F" w:rsidRPr="007B189E" w:rsidRDefault="000835B4" w:rsidP="00756C86">
      <w:pPr>
        <w:spacing w:before="60" w:after="60" w:line="360" w:lineRule="exact"/>
        <w:ind w:firstLine="561"/>
        <w:jc w:val="both"/>
        <w:rPr>
          <w:b/>
          <w:szCs w:val="26"/>
          <w:lang w:val="vi-VN"/>
        </w:rPr>
      </w:pPr>
      <w:r w:rsidRPr="007B189E">
        <w:rPr>
          <w:b/>
          <w:szCs w:val="26"/>
          <w:lang w:val="vi-VN"/>
        </w:rPr>
        <w:t xml:space="preserve">2.1. </w:t>
      </w:r>
      <w:r w:rsidR="00280734" w:rsidRPr="007B189E">
        <w:rPr>
          <w:b/>
          <w:szCs w:val="26"/>
          <w:lang w:val="vi-VN"/>
        </w:rPr>
        <w:t>K</w:t>
      </w:r>
      <w:r w:rsidRPr="007B189E">
        <w:rPr>
          <w:b/>
          <w:szCs w:val="26"/>
          <w:lang w:val="vi-VN"/>
        </w:rPr>
        <w:t xml:space="preserve">ết quả sản xuất kinh doanh </w:t>
      </w:r>
      <w:r w:rsidR="006B0134" w:rsidRPr="007B189E">
        <w:rPr>
          <w:b/>
          <w:szCs w:val="26"/>
          <w:lang w:val="vi-VN"/>
        </w:rPr>
        <w:t>năm 2025</w:t>
      </w:r>
    </w:p>
    <w:tbl>
      <w:tblPr>
        <w:tblW w:w="509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3"/>
        <w:gridCol w:w="3594"/>
        <w:gridCol w:w="1479"/>
        <w:gridCol w:w="2111"/>
        <w:gridCol w:w="1487"/>
      </w:tblGrid>
      <w:tr w:rsidR="007B189E" w:rsidRPr="007B189E" w14:paraId="6873CE4F" w14:textId="77777777" w:rsidTr="004519E3">
        <w:trPr>
          <w:trHeight w:val="454"/>
          <w:tblHeader/>
        </w:trPr>
        <w:tc>
          <w:tcPr>
            <w:tcW w:w="305" w:type="pct"/>
            <w:tcMar>
              <w:top w:w="0" w:type="dxa"/>
              <w:left w:w="108" w:type="dxa"/>
              <w:bottom w:w="0" w:type="dxa"/>
              <w:right w:w="108" w:type="dxa"/>
            </w:tcMar>
            <w:vAlign w:val="center"/>
            <w:hideMark/>
          </w:tcPr>
          <w:p w14:paraId="2F2AC0AF" w14:textId="77777777" w:rsidR="001069D3" w:rsidRPr="00E70F3B" w:rsidRDefault="001069D3" w:rsidP="005224D3">
            <w:pPr>
              <w:spacing w:after="0" w:line="320" w:lineRule="exact"/>
              <w:jc w:val="center"/>
              <w:rPr>
                <w:b/>
                <w:bCs/>
                <w:color w:val="0000FF"/>
                <w:szCs w:val="26"/>
              </w:rPr>
            </w:pPr>
            <w:r w:rsidRPr="00E70F3B">
              <w:rPr>
                <w:b/>
                <w:bCs/>
                <w:color w:val="0000FF"/>
                <w:szCs w:val="26"/>
              </w:rPr>
              <w:t>TT</w:t>
            </w:r>
          </w:p>
        </w:tc>
        <w:tc>
          <w:tcPr>
            <w:tcW w:w="1946" w:type="pct"/>
            <w:tcMar>
              <w:top w:w="0" w:type="dxa"/>
              <w:left w:w="108" w:type="dxa"/>
              <w:bottom w:w="0" w:type="dxa"/>
              <w:right w:w="108" w:type="dxa"/>
            </w:tcMar>
            <w:vAlign w:val="center"/>
            <w:hideMark/>
          </w:tcPr>
          <w:p w14:paraId="162EC15C" w14:textId="77777777" w:rsidR="001069D3" w:rsidRPr="00E70F3B" w:rsidRDefault="001069D3" w:rsidP="005224D3">
            <w:pPr>
              <w:spacing w:after="0" w:line="320" w:lineRule="exact"/>
              <w:jc w:val="center"/>
              <w:rPr>
                <w:b/>
                <w:bCs/>
                <w:color w:val="0000FF"/>
                <w:szCs w:val="26"/>
              </w:rPr>
            </w:pPr>
            <w:r w:rsidRPr="00E70F3B">
              <w:rPr>
                <w:b/>
                <w:bCs/>
                <w:color w:val="0000FF"/>
                <w:szCs w:val="26"/>
              </w:rPr>
              <w:t>Chỉ tiêu</w:t>
            </w:r>
          </w:p>
        </w:tc>
        <w:tc>
          <w:tcPr>
            <w:tcW w:w="801" w:type="pct"/>
            <w:tcMar>
              <w:top w:w="0" w:type="dxa"/>
              <w:left w:w="108" w:type="dxa"/>
              <w:bottom w:w="0" w:type="dxa"/>
              <w:right w:w="108" w:type="dxa"/>
            </w:tcMar>
            <w:vAlign w:val="center"/>
            <w:hideMark/>
          </w:tcPr>
          <w:p w14:paraId="1ABC9A5A" w14:textId="77777777" w:rsidR="001069D3" w:rsidRPr="00E70F3B" w:rsidRDefault="001069D3" w:rsidP="005224D3">
            <w:pPr>
              <w:spacing w:after="0" w:line="320" w:lineRule="exact"/>
              <w:jc w:val="center"/>
              <w:rPr>
                <w:b/>
                <w:bCs/>
                <w:color w:val="0000FF"/>
                <w:szCs w:val="26"/>
              </w:rPr>
            </w:pPr>
            <w:r w:rsidRPr="00E70F3B">
              <w:rPr>
                <w:b/>
                <w:bCs/>
                <w:color w:val="0000FF"/>
                <w:szCs w:val="26"/>
              </w:rPr>
              <w:t>KH 2025</w:t>
            </w:r>
          </w:p>
        </w:tc>
        <w:tc>
          <w:tcPr>
            <w:tcW w:w="1143" w:type="pct"/>
            <w:tcMar>
              <w:top w:w="0" w:type="dxa"/>
              <w:left w:w="108" w:type="dxa"/>
              <w:bottom w:w="0" w:type="dxa"/>
              <w:right w:w="108" w:type="dxa"/>
            </w:tcMar>
            <w:vAlign w:val="center"/>
            <w:hideMark/>
          </w:tcPr>
          <w:p w14:paraId="507A1D73" w14:textId="77777777" w:rsidR="001069D3" w:rsidRPr="00E70F3B" w:rsidRDefault="001069D3" w:rsidP="005224D3">
            <w:pPr>
              <w:spacing w:after="0" w:line="320" w:lineRule="exact"/>
              <w:jc w:val="center"/>
              <w:rPr>
                <w:b/>
                <w:bCs/>
                <w:color w:val="0000FF"/>
                <w:szCs w:val="26"/>
              </w:rPr>
            </w:pPr>
            <w:r w:rsidRPr="00E70F3B">
              <w:rPr>
                <w:b/>
                <w:bCs/>
                <w:color w:val="0000FF"/>
                <w:szCs w:val="26"/>
              </w:rPr>
              <w:t>TH 2025</w:t>
            </w:r>
          </w:p>
        </w:tc>
        <w:tc>
          <w:tcPr>
            <w:tcW w:w="805" w:type="pct"/>
            <w:tcMar>
              <w:top w:w="0" w:type="dxa"/>
              <w:left w:w="108" w:type="dxa"/>
              <w:bottom w:w="0" w:type="dxa"/>
              <w:right w:w="108" w:type="dxa"/>
            </w:tcMar>
            <w:vAlign w:val="center"/>
            <w:hideMark/>
          </w:tcPr>
          <w:p w14:paraId="77C8ABCD" w14:textId="77777777" w:rsidR="001069D3" w:rsidRPr="00E70F3B" w:rsidRDefault="001069D3" w:rsidP="005224D3">
            <w:pPr>
              <w:spacing w:after="0" w:line="320" w:lineRule="exact"/>
              <w:jc w:val="center"/>
              <w:rPr>
                <w:b/>
                <w:bCs/>
                <w:color w:val="0000FF"/>
                <w:szCs w:val="26"/>
              </w:rPr>
            </w:pPr>
            <w:r w:rsidRPr="00E70F3B">
              <w:rPr>
                <w:b/>
                <w:bCs/>
                <w:color w:val="0000FF"/>
                <w:szCs w:val="26"/>
              </w:rPr>
              <w:t>So sánh TH/KH (%)</w:t>
            </w:r>
          </w:p>
        </w:tc>
      </w:tr>
      <w:tr w:rsidR="007B189E" w:rsidRPr="007B189E" w14:paraId="5EEB661C" w14:textId="77777777" w:rsidTr="004519E3">
        <w:trPr>
          <w:trHeight w:val="454"/>
        </w:trPr>
        <w:tc>
          <w:tcPr>
            <w:tcW w:w="305" w:type="pct"/>
            <w:tcMar>
              <w:top w:w="0" w:type="dxa"/>
              <w:left w:w="108" w:type="dxa"/>
              <w:bottom w:w="0" w:type="dxa"/>
              <w:right w:w="108" w:type="dxa"/>
            </w:tcMar>
            <w:vAlign w:val="center"/>
            <w:hideMark/>
          </w:tcPr>
          <w:p w14:paraId="3DBE89D6" w14:textId="77777777" w:rsidR="001069D3" w:rsidRPr="00E70F3B" w:rsidRDefault="001069D3" w:rsidP="005224D3">
            <w:pPr>
              <w:spacing w:after="0" w:line="320" w:lineRule="exact"/>
              <w:jc w:val="center"/>
              <w:rPr>
                <w:b/>
                <w:bCs/>
                <w:color w:val="0000FF"/>
                <w:szCs w:val="26"/>
              </w:rPr>
            </w:pPr>
            <w:r w:rsidRPr="00E70F3B">
              <w:rPr>
                <w:b/>
                <w:bCs/>
                <w:color w:val="0000FF"/>
                <w:szCs w:val="26"/>
              </w:rPr>
              <w:t>1</w:t>
            </w:r>
          </w:p>
        </w:tc>
        <w:tc>
          <w:tcPr>
            <w:tcW w:w="1946" w:type="pct"/>
            <w:tcMar>
              <w:top w:w="0" w:type="dxa"/>
              <w:left w:w="108" w:type="dxa"/>
              <w:bottom w:w="0" w:type="dxa"/>
              <w:right w:w="108" w:type="dxa"/>
            </w:tcMar>
            <w:vAlign w:val="center"/>
            <w:hideMark/>
          </w:tcPr>
          <w:p w14:paraId="51BAA81D" w14:textId="77777777" w:rsidR="001069D3" w:rsidRPr="00E70F3B" w:rsidRDefault="001069D3" w:rsidP="005224D3">
            <w:pPr>
              <w:spacing w:after="0" w:line="320" w:lineRule="exact"/>
              <w:rPr>
                <w:b/>
                <w:bCs/>
                <w:color w:val="0000FF"/>
                <w:szCs w:val="26"/>
              </w:rPr>
            </w:pPr>
            <w:r w:rsidRPr="00E70F3B">
              <w:rPr>
                <w:b/>
                <w:bCs/>
                <w:color w:val="0000FF"/>
                <w:szCs w:val="26"/>
              </w:rPr>
              <w:t>Sản lượng xăng dầu xuất bán toàn Tập đoàn (</w:t>
            </w:r>
            <w:r w:rsidRPr="00E70F3B">
              <w:rPr>
                <w:b/>
                <w:bCs/>
                <w:i/>
                <w:iCs/>
                <w:color w:val="0000FF"/>
                <w:szCs w:val="26"/>
              </w:rPr>
              <w:t>m</w:t>
            </w:r>
            <w:r w:rsidRPr="00E70F3B">
              <w:rPr>
                <w:b/>
                <w:bCs/>
                <w:i/>
                <w:iCs/>
                <w:color w:val="0000FF"/>
                <w:szCs w:val="26"/>
                <w:vertAlign w:val="superscript"/>
              </w:rPr>
              <w:t>3</w:t>
            </w:r>
            <w:r w:rsidRPr="00E70F3B">
              <w:rPr>
                <w:b/>
                <w:bCs/>
                <w:i/>
                <w:iCs/>
                <w:color w:val="0000FF"/>
                <w:szCs w:val="26"/>
              </w:rPr>
              <w:t>, tấn</w:t>
            </w:r>
            <w:r w:rsidRPr="00E70F3B">
              <w:rPr>
                <w:b/>
                <w:bCs/>
                <w:color w:val="0000FF"/>
                <w:szCs w:val="26"/>
              </w:rPr>
              <w:t>)</w:t>
            </w:r>
          </w:p>
        </w:tc>
        <w:tc>
          <w:tcPr>
            <w:tcW w:w="801" w:type="pct"/>
            <w:tcMar>
              <w:top w:w="0" w:type="dxa"/>
              <w:left w:w="108" w:type="dxa"/>
              <w:bottom w:w="0" w:type="dxa"/>
              <w:right w:w="108" w:type="dxa"/>
            </w:tcMar>
            <w:vAlign w:val="center"/>
          </w:tcPr>
          <w:p w14:paraId="00D0446B" w14:textId="1D2C8B89" w:rsidR="001069D3" w:rsidRPr="00E70F3B" w:rsidRDefault="001069D3" w:rsidP="005224D3">
            <w:pPr>
              <w:spacing w:after="0" w:line="320" w:lineRule="exact"/>
              <w:jc w:val="right"/>
              <w:rPr>
                <w:color w:val="0000FF"/>
                <w:szCs w:val="26"/>
              </w:rPr>
            </w:pPr>
            <w:r w:rsidRPr="00E70F3B">
              <w:rPr>
                <w:color w:val="0000FF"/>
                <w:szCs w:val="26"/>
              </w:rPr>
              <w:t xml:space="preserve"> 17.325.000 </w:t>
            </w:r>
          </w:p>
        </w:tc>
        <w:tc>
          <w:tcPr>
            <w:tcW w:w="1143" w:type="pct"/>
            <w:tcMar>
              <w:top w:w="0" w:type="dxa"/>
              <w:left w:w="108" w:type="dxa"/>
              <w:bottom w:w="0" w:type="dxa"/>
              <w:right w:w="108" w:type="dxa"/>
            </w:tcMar>
            <w:vAlign w:val="center"/>
          </w:tcPr>
          <w:p w14:paraId="50DD7537" w14:textId="4D36B089" w:rsidR="001069D3" w:rsidRPr="00E70F3B" w:rsidRDefault="001069D3" w:rsidP="005224D3">
            <w:pPr>
              <w:spacing w:after="0" w:line="320" w:lineRule="exact"/>
              <w:jc w:val="right"/>
              <w:rPr>
                <w:color w:val="0000FF"/>
                <w:szCs w:val="26"/>
              </w:rPr>
            </w:pPr>
            <w:r w:rsidRPr="00E70F3B">
              <w:rPr>
                <w:color w:val="0000FF"/>
                <w:szCs w:val="26"/>
              </w:rPr>
              <w:t xml:space="preserve">  17.7</w:t>
            </w:r>
            <w:r w:rsidR="00087D40" w:rsidRPr="00E70F3B">
              <w:rPr>
                <w:color w:val="0000FF"/>
                <w:szCs w:val="26"/>
              </w:rPr>
              <w:t>0</w:t>
            </w:r>
            <w:r w:rsidRPr="00E70F3B">
              <w:rPr>
                <w:color w:val="0000FF"/>
                <w:szCs w:val="26"/>
              </w:rPr>
              <w:t>5.0</w:t>
            </w:r>
            <w:r w:rsidR="00087D40" w:rsidRPr="00E70F3B">
              <w:rPr>
                <w:color w:val="0000FF"/>
                <w:szCs w:val="26"/>
              </w:rPr>
              <w:t>1</w:t>
            </w:r>
            <w:r w:rsidRPr="00E70F3B">
              <w:rPr>
                <w:color w:val="0000FF"/>
                <w:szCs w:val="26"/>
              </w:rPr>
              <w:t xml:space="preserve">0 </w:t>
            </w:r>
          </w:p>
        </w:tc>
        <w:tc>
          <w:tcPr>
            <w:tcW w:w="805" w:type="pct"/>
            <w:tcMar>
              <w:top w:w="0" w:type="dxa"/>
              <w:left w:w="108" w:type="dxa"/>
              <w:bottom w:w="0" w:type="dxa"/>
              <w:right w:w="108" w:type="dxa"/>
            </w:tcMar>
            <w:vAlign w:val="center"/>
          </w:tcPr>
          <w:p w14:paraId="5AE6AF99" w14:textId="3BDAF037" w:rsidR="001069D3" w:rsidRPr="00E70F3B" w:rsidRDefault="001069D3" w:rsidP="005224D3">
            <w:pPr>
              <w:spacing w:after="0" w:line="320" w:lineRule="exact"/>
              <w:jc w:val="right"/>
              <w:rPr>
                <w:color w:val="0000FF"/>
                <w:szCs w:val="26"/>
              </w:rPr>
            </w:pPr>
            <w:r w:rsidRPr="00E70F3B">
              <w:rPr>
                <w:color w:val="0000FF"/>
                <w:szCs w:val="26"/>
              </w:rPr>
              <w:t>102,</w:t>
            </w:r>
            <w:r w:rsidR="00087D40" w:rsidRPr="00E70F3B">
              <w:rPr>
                <w:color w:val="0000FF"/>
                <w:szCs w:val="26"/>
              </w:rPr>
              <w:t>2</w:t>
            </w:r>
            <w:r w:rsidRPr="00E70F3B">
              <w:rPr>
                <w:color w:val="0000FF"/>
                <w:szCs w:val="26"/>
              </w:rPr>
              <w:t>%</w:t>
            </w:r>
          </w:p>
        </w:tc>
      </w:tr>
      <w:tr w:rsidR="007B189E" w:rsidRPr="007B189E" w14:paraId="3507B50A" w14:textId="77777777" w:rsidTr="004519E3">
        <w:trPr>
          <w:trHeight w:val="454"/>
        </w:trPr>
        <w:tc>
          <w:tcPr>
            <w:tcW w:w="305" w:type="pct"/>
            <w:tcMar>
              <w:top w:w="0" w:type="dxa"/>
              <w:left w:w="108" w:type="dxa"/>
              <w:bottom w:w="0" w:type="dxa"/>
              <w:right w:w="108" w:type="dxa"/>
            </w:tcMar>
            <w:vAlign w:val="center"/>
          </w:tcPr>
          <w:p w14:paraId="07B91EBC" w14:textId="77777777" w:rsidR="001069D3" w:rsidRPr="00E70F3B" w:rsidRDefault="001069D3" w:rsidP="005224D3">
            <w:pPr>
              <w:spacing w:after="0" w:line="320" w:lineRule="exact"/>
              <w:jc w:val="center"/>
              <w:rPr>
                <w:b/>
                <w:bCs/>
                <w:color w:val="0000FF"/>
                <w:szCs w:val="26"/>
              </w:rPr>
            </w:pPr>
          </w:p>
        </w:tc>
        <w:tc>
          <w:tcPr>
            <w:tcW w:w="1946" w:type="pct"/>
            <w:tcMar>
              <w:top w:w="0" w:type="dxa"/>
              <w:left w:w="108" w:type="dxa"/>
              <w:bottom w:w="0" w:type="dxa"/>
              <w:right w:w="108" w:type="dxa"/>
            </w:tcMar>
            <w:vAlign w:val="center"/>
          </w:tcPr>
          <w:p w14:paraId="63DCCE9D" w14:textId="77777777" w:rsidR="001069D3" w:rsidRPr="00E70F3B" w:rsidRDefault="001069D3" w:rsidP="005224D3">
            <w:pPr>
              <w:spacing w:after="0" w:line="320" w:lineRule="exact"/>
              <w:rPr>
                <w:bCs/>
                <w:i/>
                <w:color w:val="0000FF"/>
                <w:szCs w:val="26"/>
              </w:rPr>
            </w:pPr>
            <w:r w:rsidRPr="00E70F3B">
              <w:rPr>
                <w:bCs/>
                <w:i/>
                <w:color w:val="0000FF"/>
                <w:szCs w:val="26"/>
              </w:rPr>
              <w:t>Trong đó Công ty mẹ</w:t>
            </w:r>
          </w:p>
        </w:tc>
        <w:tc>
          <w:tcPr>
            <w:tcW w:w="801" w:type="pct"/>
            <w:tcMar>
              <w:top w:w="0" w:type="dxa"/>
              <w:left w:w="108" w:type="dxa"/>
              <w:bottom w:w="0" w:type="dxa"/>
              <w:right w:w="108" w:type="dxa"/>
            </w:tcMar>
            <w:vAlign w:val="center"/>
          </w:tcPr>
          <w:p w14:paraId="28EF3F58" w14:textId="4891646F" w:rsidR="001069D3" w:rsidRPr="00E70F3B" w:rsidRDefault="001069D3" w:rsidP="005224D3">
            <w:pPr>
              <w:spacing w:after="0" w:line="320" w:lineRule="exact"/>
              <w:jc w:val="right"/>
              <w:rPr>
                <w:color w:val="0000FF"/>
                <w:szCs w:val="26"/>
              </w:rPr>
            </w:pPr>
            <w:r w:rsidRPr="00E70F3B">
              <w:rPr>
                <w:color w:val="0000FF"/>
                <w:szCs w:val="26"/>
              </w:rPr>
              <w:t xml:space="preserve"> 11.868.000 </w:t>
            </w:r>
          </w:p>
        </w:tc>
        <w:tc>
          <w:tcPr>
            <w:tcW w:w="1143" w:type="pct"/>
            <w:tcMar>
              <w:top w:w="0" w:type="dxa"/>
              <w:left w:w="108" w:type="dxa"/>
              <w:bottom w:w="0" w:type="dxa"/>
              <w:right w:w="108" w:type="dxa"/>
            </w:tcMar>
            <w:vAlign w:val="center"/>
          </w:tcPr>
          <w:p w14:paraId="7D5DD26E" w14:textId="19EB0503" w:rsidR="001069D3" w:rsidRPr="00E70F3B" w:rsidRDefault="001069D3" w:rsidP="005224D3">
            <w:pPr>
              <w:spacing w:after="0" w:line="320" w:lineRule="exact"/>
              <w:jc w:val="right"/>
              <w:rPr>
                <w:color w:val="0000FF"/>
                <w:szCs w:val="26"/>
              </w:rPr>
            </w:pPr>
            <w:r w:rsidRPr="00E70F3B">
              <w:rPr>
                <w:color w:val="0000FF"/>
                <w:szCs w:val="26"/>
              </w:rPr>
              <w:t xml:space="preserve">  11.913.</w:t>
            </w:r>
            <w:r w:rsidR="00DA7133" w:rsidRPr="00E70F3B">
              <w:rPr>
                <w:color w:val="0000FF"/>
                <w:szCs w:val="26"/>
              </w:rPr>
              <w:t>64</w:t>
            </w:r>
            <w:r w:rsidRPr="00E70F3B">
              <w:rPr>
                <w:color w:val="0000FF"/>
                <w:szCs w:val="26"/>
              </w:rPr>
              <w:t xml:space="preserve">5 </w:t>
            </w:r>
          </w:p>
        </w:tc>
        <w:tc>
          <w:tcPr>
            <w:tcW w:w="805" w:type="pct"/>
            <w:tcMar>
              <w:top w:w="0" w:type="dxa"/>
              <w:left w:w="108" w:type="dxa"/>
              <w:bottom w:w="0" w:type="dxa"/>
              <w:right w:w="108" w:type="dxa"/>
            </w:tcMar>
            <w:vAlign w:val="center"/>
          </w:tcPr>
          <w:p w14:paraId="135EC066" w14:textId="77777777" w:rsidR="001069D3" w:rsidRPr="00E70F3B" w:rsidRDefault="001069D3" w:rsidP="005224D3">
            <w:pPr>
              <w:spacing w:after="0" w:line="320" w:lineRule="exact"/>
              <w:jc w:val="right"/>
              <w:rPr>
                <w:color w:val="0000FF"/>
                <w:szCs w:val="26"/>
              </w:rPr>
            </w:pPr>
            <w:r w:rsidRPr="00E70F3B">
              <w:rPr>
                <w:color w:val="0000FF"/>
                <w:szCs w:val="26"/>
              </w:rPr>
              <w:t>100,4%</w:t>
            </w:r>
          </w:p>
        </w:tc>
      </w:tr>
      <w:tr w:rsidR="007B189E" w:rsidRPr="007B189E" w14:paraId="50A11040" w14:textId="77777777" w:rsidTr="004519E3">
        <w:trPr>
          <w:trHeight w:val="454"/>
        </w:trPr>
        <w:tc>
          <w:tcPr>
            <w:tcW w:w="305" w:type="pct"/>
            <w:tcMar>
              <w:top w:w="0" w:type="dxa"/>
              <w:left w:w="108" w:type="dxa"/>
              <w:bottom w:w="0" w:type="dxa"/>
              <w:right w:w="108" w:type="dxa"/>
            </w:tcMar>
            <w:vAlign w:val="center"/>
            <w:hideMark/>
          </w:tcPr>
          <w:p w14:paraId="03B90C04" w14:textId="77777777" w:rsidR="001069D3" w:rsidRPr="00E70F3B" w:rsidRDefault="001069D3" w:rsidP="005224D3">
            <w:pPr>
              <w:spacing w:after="0" w:line="320" w:lineRule="exact"/>
              <w:jc w:val="center"/>
              <w:rPr>
                <w:b/>
                <w:bCs/>
                <w:color w:val="0000FF"/>
                <w:szCs w:val="26"/>
              </w:rPr>
            </w:pPr>
            <w:r w:rsidRPr="00E70F3B">
              <w:rPr>
                <w:b/>
                <w:bCs/>
                <w:color w:val="0000FF"/>
                <w:szCs w:val="26"/>
              </w:rPr>
              <w:t>2</w:t>
            </w:r>
          </w:p>
          <w:p w14:paraId="6D0E9E96" w14:textId="77777777" w:rsidR="001069D3" w:rsidRPr="00E70F3B" w:rsidRDefault="001069D3" w:rsidP="005224D3">
            <w:pPr>
              <w:spacing w:after="0" w:line="320" w:lineRule="exact"/>
              <w:jc w:val="center"/>
              <w:rPr>
                <w:b/>
                <w:bCs/>
                <w:color w:val="0000FF"/>
                <w:szCs w:val="26"/>
              </w:rPr>
            </w:pPr>
          </w:p>
        </w:tc>
        <w:tc>
          <w:tcPr>
            <w:tcW w:w="1946" w:type="pct"/>
            <w:tcMar>
              <w:top w:w="0" w:type="dxa"/>
              <w:left w:w="108" w:type="dxa"/>
              <w:bottom w:w="0" w:type="dxa"/>
              <w:right w:w="108" w:type="dxa"/>
            </w:tcMar>
            <w:vAlign w:val="center"/>
            <w:hideMark/>
          </w:tcPr>
          <w:p w14:paraId="64E6D5FA" w14:textId="77777777" w:rsidR="001069D3" w:rsidRPr="00E70F3B" w:rsidRDefault="001069D3" w:rsidP="005224D3">
            <w:pPr>
              <w:spacing w:after="0" w:line="320" w:lineRule="exact"/>
              <w:rPr>
                <w:b/>
                <w:bCs/>
                <w:color w:val="0000FF"/>
                <w:szCs w:val="26"/>
              </w:rPr>
            </w:pPr>
            <w:r w:rsidRPr="00E70F3B">
              <w:rPr>
                <w:b/>
                <w:bCs/>
                <w:color w:val="0000FF"/>
                <w:szCs w:val="26"/>
              </w:rPr>
              <w:t>Doanh thu hợp nhất toàn Tập đoàn (</w:t>
            </w:r>
            <w:r w:rsidRPr="00E70F3B">
              <w:rPr>
                <w:b/>
                <w:bCs/>
                <w:i/>
                <w:iCs/>
                <w:color w:val="0000FF"/>
                <w:szCs w:val="26"/>
              </w:rPr>
              <w:t>tỷ đồng</w:t>
            </w:r>
            <w:r w:rsidRPr="00E70F3B">
              <w:rPr>
                <w:b/>
                <w:bCs/>
                <w:color w:val="0000FF"/>
                <w:szCs w:val="26"/>
              </w:rPr>
              <w:t xml:space="preserve">) </w:t>
            </w:r>
          </w:p>
        </w:tc>
        <w:tc>
          <w:tcPr>
            <w:tcW w:w="801" w:type="pct"/>
            <w:tcMar>
              <w:top w:w="0" w:type="dxa"/>
              <w:left w:w="108" w:type="dxa"/>
              <w:bottom w:w="0" w:type="dxa"/>
              <w:right w:w="108" w:type="dxa"/>
            </w:tcMar>
            <w:vAlign w:val="center"/>
          </w:tcPr>
          <w:p w14:paraId="06ABD0D5" w14:textId="77777777" w:rsidR="001069D3" w:rsidRPr="00E70F3B" w:rsidRDefault="001069D3" w:rsidP="005224D3">
            <w:pPr>
              <w:spacing w:after="0" w:line="320" w:lineRule="exact"/>
              <w:jc w:val="right"/>
              <w:rPr>
                <w:bCs/>
                <w:color w:val="0000FF"/>
                <w:szCs w:val="26"/>
              </w:rPr>
            </w:pPr>
            <w:r w:rsidRPr="00E70F3B">
              <w:rPr>
                <w:color w:val="0000FF"/>
                <w:szCs w:val="26"/>
              </w:rPr>
              <w:t>248.000</w:t>
            </w:r>
          </w:p>
        </w:tc>
        <w:tc>
          <w:tcPr>
            <w:tcW w:w="1143" w:type="pct"/>
            <w:tcMar>
              <w:top w:w="0" w:type="dxa"/>
              <w:left w:w="108" w:type="dxa"/>
              <w:bottom w:w="0" w:type="dxa"/>
              <w:right w:w="108" w:type="dxa"/>
            </w:tcMar>
            <w:vAlign w:val="center"/>
          </w:tcPr>
          <w:p w14:paraId="08773C45" w14:textId="190955B6" w:rsidR="001069D3" w:rsidRPr="00E70F3B" w:rsidRDefault="001069D3" w:rsidP="005224D3">
            <w:pPr>
              <w:spacing w:after="0" w:line="320" w:lineRule="exact"/>
              <w:jc w:val="right"/>
              <w:rPr>
                <w:color w:val="0000FF"/>
                <w:szCs w:val="26"/>
              </w:rPr>
            </w:pPr>
            <w:r w:rsidRPr="00E70F3B">
              <w:rPr>
                <w:color w:val="0000FF"/>
                <w:szCs w:val="26"/>
              </w:rPr>
              <w:t>309.</w:t>
            </w:r>
            <w:r w:rsidR="002D78F6" w:rsidRPr="00E70F3B">
              <w:rPr>
                <w:color w:val="0000FF"/>
                <w:szCs w:val="26"/>
              </w:rPr>
              <w:t>875</w:t>
            </w:r>
          </w:p>
        </w:tc>
        <w:tc>
          <w:tcPr>
            <w:tcW w:w="805" w:type="pct"/>
            <w:tcMar>
              <w:top w:w="0" w:type="dxa"/>
              <w:left w:w="108" w:type="dxa"/>
              <w:bottom w:w="0" w:type="dxa"/>
              <w:right w:w="108" w:type="dxa"/>
            </w:tcMar>
            <w:vAlign w:val="center"/>
          </w:tcPr>
          <w:p w14:paraId="614FE214" w14:textId="77777777" w:rsidR="001069D3" w:rsidRPr="00E70F3B" w:rsidRDefault="001069D3" w:rsidP="005224D3">
            <w:pPr>
              <w:spacing w:after="0" w:line="320" w:lineRule="exact"/>
              <w:jc w:val="right"/>
              <w:rPr>
                <w:color w:val="0000FF"/>
                <w:szCs w:val="26"/>
              </w:rPr>
            </w:pPr>
            <w:r w:rsidRPr="00E70F3B">
              <w:rPr>
                <w:color w:val="0000FF"/>
                <w:szCs w:val="26"/>
              </w:rPr>
              <w:t>125%</w:t>
            </w:r>
          </w:p>
        </w:tc>
      </w:tr>
      <w:tr w:rsidR="007B189E" w:rsidRPr="007B189E" w14:paraId="16E61BDC" w14:textId="77777777" w:rsidTr="004519E3">
        <w:trPr>
          <w:trHeight w:val="454"/>
        </w:trPr>
        <w:tc>
          <w:tcPr>
            <w:tcW w:w="305" w:type="pct"/>
            <w:tcMar>
              <w:top w:w="0" w:type="dxa"/>
              <w:left w:w="108" w:type="dxa"/>
              <w:bottom w:w="0" w:type="dxa"/>
              <w:right w:w="108" w:type="dxa"/>
            </w:tcMar>
            <w:vAlign w:val="center"/>
            <w:hideMark/>
          </w:tcPr>
          <w:p w14:paraId="4DF9522C" w14:textId="77777777" w:rsidR="001069D3" w:rsidRPr="00E70F3B" w:rsidRDefault="001069D3" w:rsidP="005224D3">
            <w:pPr>
              <w:spacing w:after="0" w:line="320" w:lineRule="exact"/>
              <w:jc w:val="center"/>
              <w:rPr>
                <w:color w:val="0000FF"/>
                <w:szCs w:val="26"/>
              </w:rPr>
            </w:pPr>
          </w:p>
        </w:tc>
        <w:tc>
          <w:tcPr>
            <w:tcW w:w="1946" w:type="pct"/>
            <w:tcMar>
              <w:top w:w="0" w:type="dxa"/>
              <w:left w:w="108" w:type="dxa"/>
              <w:bottom w:w="0" w:type="dxa"/>
              <w:right w:w="108" w:type="dxa"/>
            </w:tcMar>
            <w:vAlign w:val="center"/>
            <w:hideMark/>
          </w:tcPr>
          <w:p w14:paraId="70D2438A" w14:textId="77777777" w:rsidR="001069D3" w:rsidRPr="00E70F3B" w:rsidRDefault="001069D3" w:rsidP="005224D3">
            <w:pPr>
              <w:spacing w:after="0" w:line="320" w:lineRule="exact"/>
              <w:rPr>
                <w:i/>
                <w:iCs/>
                <w:color w:val="0000FF"/>
                <w:szCs w:val="26"/>
              </w:rPr>
            </w:pPr>
            <w:r w:rsidRPr="00E70F3B">
              <w:rPr>
                <w:i/>
                <w:iCs/>
                <w:color w:val="0000FF"/>
                <w:szCs w:val="26"/>
              </w:rPr>
              <w:t>Trong đó Công ty mẹ</w:t>
            </w:r>
          </w:p>
        </w:tc>
        <w:tc>
          <w:tcPr>
            <w:tcW w:w="801" w:type="pct"/>
            <w:tcMar>
              <w:top w:w="0" w:type="dxa"/>
              <w:left w:w="108" w:type="dxa"/>
              <w:bottom w:w="0" w:type="dxa"/>
              <w:right w:w="108" w:type="dxa"/>
            </w:tcMar>
            <w:vAlign w:val="center"/>
          </w:tcPr>
          <w:p w14:paraId="4D75F201" w14:textId="77777777" w:rsidR="001069D3" w:rsidRPr="00E70F3B" w:rsidRDefault="001069D3" w:rsidP="005224D3">
            <w:pPr>
              <w:spacing w:after="0" w:line="320" w:lineRule="exact"/>
              <w:jc w:val="right"/>
              <w:rPr>
                <w:bCs/>
                <w:color w:val="0000FF"/>
                <w:szCs w:val="26"/>
              </w:rPr>
            </w:pPr>
            <w:r w:rsidRPr="00E70F3B">
              <w:rPr>
                <w:color w:val="0000FF"/>
                <w:szCs w:val="26"/>
              </w:rPr>
              <w:t>148.000</w:t>
            </w:r>
          </w:p>
        </w:tc>
        <w:tc>
          <w:tcPr>
            <w:tcW w:w="1143" w:type="pct"/>
            <w:tcMar>
              <w:top w:w="0" w:type="dxa"/>
              <w:left w:w="108" w:type="dxa"/>
              <w:bottom w:w="0" w:type="dxa"/>
              <w:right w:w="108" w:type="dxa"/>
            </w:tcMar>
            <w:vAlign w:val="center"/>
          </w:tcPr>
          <w:p w14:paraId="40D1E75B" w14:textId="77777777" w:rsidR="001069D3" w:rsidRPr="00E70F3B" w:rsidRDefault="001069D3" w:rsidP="005224D3">
            <w:pPr>
              <w:spacing w:after="0" w:line="320" w:lineRule="exact"/>
              <w:jc w:val="right"/>
              <w:rPr>
                <w:color w:val="0000FF"/>
                <w:szCs w:val="26"/>
              </w:rPr>
            </w:pPr>
            <w:r w:rsidRPr="00E70F3B">
              <w:rPr>
                <w:color w:val="0000FF"/>
                <w:szCs w:val="26"/>
              </w:rPr>
              <w:t>182.803</w:t>
            </w:r>
          </w:p>
        </w:tc>
        <w:tc>
          <w:tcPr>
            <w:tcW w:w="805" w:type="pct"/>
            <w:tcMar>
              <w:top w:w="0" w:type="dxa"/>
              <w:left w:w="108" w:type="dxa"/>
              <w:bottom w:w="0" w:type="dxa"/>
              <w:right w:w="108" w:type="dxa"/>
            </w:tcMar>
            <w:vAlign w:val="center"/>
          </w:tcPr>
          <w:p w14:paraId="4FA5637A" w14:textId="77777777" w:rsidR="001069D3" w:rsidRPr="00E70F3B" w:rsidRDefault="001069D3" w:rsidP="005224D3">
            <w:pPr>
              <w:spacing w:after="0" w:line="320" w:lineRule="exact"/>
              <w:jc w:val="right"/>
              <w:rPr>
                <w:color w:val="0000FF"/>
                <w:szCs w:val="26"/>
              </w:rPr>
            </w:pPr>
            <w:r w:rsidRPr="00E70F3B">
              <w:rPr>
                <w:color w:val="0000FF"/>
                <w:szCs w:val="26"/>
              </w:rPr>
              <w:t>124%</w:t>
            </w:r>
          </w:p>
        </w:tc>
      </w:tr>
      <w:tr w:rsidR="007B189E" w:rsidRPr="007B189E" w14:paraId="70483600" w14:textId="77777777" w:rsidTr="004519E3">
        <w:trPr>
          <w:trHeight w:val="454"/>
        </w:trPr>
        <w:tc>
          <w:tcPr>
            <w:tcW w:w="305" w:type="pct"/>
            <w:tcMar>
              <w:top w:w="0" w:type="dxa"/>
              <w:left w:w="108" w:type="dxa"/>
              <w:bottom w:w="0" w:type="dxa"/>
              <w:right w:w="108" w:type="dxa"/>
            </w:tcMar>
            <w:vAlign w:val="center"/>
            <w:hideMark/>
          </w:tcPr>
          <w:p w14:paraId="14C786EA" w14:textId="77777777" w:rsidR="001069D3" w:rsidRPr="00E70F3B" w:rsidRDefault="001069D3" w:rsidP="005224D3">
            <w:pPr>
              <w:spacing w:after="0" w:line="320" w:lineRule="exact"/>
              <w:jc w:val="center"/>
              <w:rPr>
                <w:b/>
                <w:bCs/>
                <w:color w:val="0000FF"/>
                <w:szCs w:val="26"/>
              </w:rPr>
            </w:pPr>
            <w:r w:rsidRPr="00E70F3B">
              <w:rPr>
                <w:b/>
                <w:bCs/>
                <w:color w:val="0000FF"/>
                <w:szCs w:val="26"/>
              </w:rPr>
              <w:t>3</w:t>
            </w:r>
          </w:p>
          <w:p w14:paraId="458F7721" w14:textId="77777777" w:rsidR="001069D3" w:rsidRPr="00E70F3B" w:rsidRDefault="001069D3" w:rsidP="005224D3">
            <w:pPr>
              <w:spacing w:after="0" w:line="320" w:lineRule="exact"/>
              <w:jc w:val="center"/>
              <w:rPr>
                <w:b/>
                <w:bCs/>
                <w:color w:val="0000FF"/>
                <w:szCs w:val="26"/>
              </w:rPr>
            </w:pPr>
          </w:p>
        </w:tc>
        <w:tc>
          <w:tcPr>
            <w:tcW w:w="1946" w:type="pct"/>
            <w:tcMar>
              <w:top w:w="0" w:type="dxa"/>
              <w:left w:w="108" w:type="dxa"/>
              <w:bottom w:w="0" w:type="dxa"/>
              <w:right w:w="108" w:type="dxa"/>
            </w:tcMar>
            <w:vAlign w:val="center"/>
            <w:hideMark/>
          </w:tcPr>
          <w:p w14:paraId="2BDA08B4" w14:textId="77777777" w:rsidR="001069D3" w:rsidRPr="00E70F3B" w:rsidRDefault="001069D3" w:rsidP="005224D3">
            <w:pPr>
              <w:spacing w:after="0" w:line="320" w:lineRule="exact"/>
              <w:rPr>
                <w:b/>
                <w:bCs/>
                <w:color w:val="0000FF"/>
                <w:szCs w:val="26"/>
              </w:rPr>
            </w:pPr>
            <w:r w:rsidRPr="00E70F3B">
              <w:rPr>
                <w:b/>
                <w:bCs/>
                <w:color w:val="0000FF"/>
                <w:szCs w:val="26"/>
              </w:rPr>
              <w:t>Lợi nhuận hợp nhất trước thuế (</w:t>
            </w:r>
            <w:r w:rsidRPr="00E70F3B">
              <w:rPr>
                <w:b/>
                <w:bCs/>
                <w:i/>
                <w:iCs/>
                <w:color w:val="0000FF"/>
                <w:szCs w:val="26"/>
              </w:rPr>
              <w:t>tỷ đồng</w:t>
            </w:r>
            <w:r w:rsidRPr="00E70F3B">
              <w:rPr>
                <w:b/>
                <w:bCs/>
                <w:color w:val="0000FF"/>
                <w:szCs w:val="26"/>
              </w:rPr>
              <w:t xml:space="preserve">) </w:t>
            </w:r>
          </w:p>
        </w:tc>
        <w:tc>
          <w:tcPr>
            <w:tcW w:w="801" w:type="pct"/>
            <w:tcMar>
              <w:top w:w="0" w:type="dxa"/>
              <w:left w:w="108" w:type="dxa"/>
              <w:bottom w:w="0" w:type="dxa"/>
              <w:right w:w="108" w:type="dxa"/>
            </w:tcMar>
            <w:vAlign w:val="center"/>
          </w:tcPr>
          <w:p w14:paraId="668CA174" w14:textId="77777777" w:rsidR="001069D3" w:rsidRPr="00E70F3B" w:rsidRDefault="001069D3" w:rsidP="005224D3">
            <w:pPr>
              <w:spacing w:after="0" w:line="320" w:lineRule="exact"/>
              <w:jc w:val="right"/>
              <w:rPr>
                <w:bCs/>
                <w:color w:val="0000FF"/>
                <w:szCs w:val="26"/>
              </w:rPr>
            </w:pPr>
            <w:r w:rsidRPr="00E70F3B">
              <w:rPr>
                <w:color w:val="0000FF"/>
                <w:szCs w:val="26"/>
              </w:rPr>
              <w:t>3.200</w:t>
            </w:r>
          </w:p>
        </w:tc>
        <w:tc>
          <w:tcPr>
            <w:tcW w:w="1143" w:type="pct"/>
            <w:tcMar>
              <w:top w:w="0" w:type="dxa"/>
              <w:left w:w="108" w:type="dxa"/>
              <w:bottom w:w="0" w:type="dxa"/>
              <w:right w:w="108" w:type="dxa"/>
            </w:tcMar>
            <w:vAlign w:val="center"/>
          </w:tcPr>
          <w:p w14:paraId="3C1AC498" w14:textId="4043A026" w:rsidR="001069D3" w:rsidRPr="00E70F3B" w:rsidRDefault="002D78F6" w:rsidP="005224D3">
            <w:pPr>
              <w:spacing w:after="0" w:line="320" w:lineRule="exact"/>
              <w:jc w:val="right"/>
              <w:rPr>
                <w:color w:val="0000FF"/>
                <w:szCs w:val="26"/>
              </w:rPr>
            </w:pPr>
            <w:r w:rsidRPr="00E70F3B">
              <w:rPr>
                <w:color w:val="0000FF"/>
                <w:szCs w:val="26"/>
              </w:rPr>
              <w:t>3.643</w:t>
            </w:r>
          </w:p>
        </w:tc>
        <w:tc>
          <w:tcPr>
            <w:tcW w:w="805" w:type="pct"/>
            <w:tcMar>
              <w:top w:w="0" w:type="dxa"/>
              <w:left w:w="108" w:type="dxa"/>
              <w:bottom w:w="0" w:type="dxa"/>
              <w:right w:w="108" w:type="dxa"/>
            </w:tcMar>
            <w:vAlign w:val="center"/>
          </w:tcPr>
          <w:p w14:paraId="69F4D2CF" w14:textId="70A34E4E" w:rsidR="001069D3" w:rsidRPr="00E70F3B" w:rsidRDefault="001069D3" w:rsidP="005224D3">
            <w:pPr>
              <w:spacing w:after="0" w:line="320" w:lineRule="exact"/>
              <w:jc w:val="right"/>
              <w:rPr>
                <w:color w:val="0000FF"/>
                <w:szCs w:val="26"/>
              </w:rPr>
            </w:pPr>
            <w:r w:rsidRPr="00E70F3B">
              <w:rPr>
                <w:color w:val="0000FF"/>
                <w:szCs w:val="26"/>
              </w:rPr>
              <w:t>11</w:t>
            </w:r>
            <w:r w:rsidR="002D78F6" w:rsidRPr="00E70F3B">
              <w:rPr>
                <w:color w:val="0000FF"/>
                <w:szCs w:val="26"/>
              </w:rPr>
              <w:t>4</w:t>
            </w:r>
            <w:r w:rsidRPr="00E70F3B">
              <w:rPr>
                <w:color w:val="0000FF"/>
                <w:szCs w:val="26"/>
              </w:rPr>
              <w:t>%</w:t>
            </w:r>
          </w:p>
        </w:tc>
      </w:tr>
      <w:tr w:rsidR="007B189E" w:rsidRPr="007B189E" w14:paraId="4212BC2F" w14:textId="77777777" w:rsidTr="004519E3">
        <w:trPr>
          <w:trHeight w:val="454"/>
        </w:trPr>
        <w:tc>
          <w:tcPr>
            <w:tcW w:w="305" w:type="pct"/>
            <w:tcMar>
              <w:top w:w="0" w:type="dxa"/>
              <w:left w:w="108" w:type="dxa"/>
              <w:bottom w:w="0" w:type="dxa"/>
              <w:right w:w="108" w:type="dxa"/>
            </w:tcMar>
            <w:vAlign w:val="center"/>
            <w:hideMark/>
          </w:tcPr>
          <w:p w14:paraId="1D4C7FEF" w14:textId="77777777" w:rsidR="001069D3" w:rsidRPr="00E70F3B" w:rsidRDefault="001069D3" w:rsidP="005224D3">
            <w:pPr>
              <w:spacing w:after="0" w:line="320" w:lineRule="exact"/>
              <w:jc w:val="center"/>
              <w:rPr>
                <w:color w:val="0000FF"/>
                <w:szCs w:val="26"/>
              </w:rPr>
            </w:pPr>
          </w:p>
        </w:tc>
        <w:tc>
          <w:tcPr>
            <w:tcW w:w="1946" w:type="pct"/>
            <w:tcMar>
              <w:top w:w="0" w:type="dxa"/>
              <w:left w:w="108" w:type="dxa"/>
              <w:bottom w:w="0" w:type="dxa"/>
              <w:right w:w="108" w:type="dxa"/>
            </w:tcMar>
            <w:vAlign w:val="center"/>
            <w:hideMark/>
          </w:tcPr>
          <w:p w14:paraId="1AD4B6E3" w14:textId="77777777" w:rsidR="001069D3" w:rsidRPr="00E70F3B" w:rsidRDefault="001069D3" w:rsidP="005224D3">
            <w:pPr>
              <w:spacing w:after="0" w:line="320" w:lineRule="exact"/>
              <w:rPr>
                <w:i/>
                <w:iCs/>
                <w:color w:val="0000FF"/>
                <w:szCs w:val="26"/>
              </w:rPr>
            </w:pPr>
            <w:r w:rsidRPr="00E70F3B">
              <w:rPr>
                <w:i/>
                <w:iCs/>
                <w:color w:val="0000FF"/>
                <w:szCs w:val="26"/>
              </w:rPr>
              <w:t>Trong đó Công ty mẹ</w:t>
            </w:r>
          </w:p>
        </w:tc>
        <w:tc>
          <w:tcPr>
            <w:tcW w:w="801" w:type="pct"/>
            <w:tcMar>
              <w:top w:w="0" w:type="dxa"/>
              <w:left w:w="108" w:type="dxa"/>
              <w:bottom w:w="0" w:type="dxa"/>
              <w:right w:w="108" w:type="dxa"/>
            </w:tcMar>
            <w:vAlign w:val="center"/>
          </w:tcPr>
          <w:p w14:paraId="6D78EBBE" w14:textId="77777777" w:rsidR="001069D3" w:rsidRPr="00E70F3B" w:rsidRDefault="001069D3" w:rsidP="005224D3">
            <w:pPr>
              <w:spacing w:after="0" w:line="320" w:lineRule="exact"/>
              <w:jc w:val="right"/>
              <w:rPr>
                <w:bCs/>
                <w:color w:val="0000FF"/>
                <w:szCs w:val="26"/>
              </w:rPr>
            </w:pPr>
            <w:r w:rsidRPr="00E70F3B">
              <w:rPr>
                <w:color w:val="0000FF"/>
                <w:szCs w:val="26"/>
              </w:rPr>
              <w:t>1.936</w:t>
            </w:r>
          </w:p>
        </w:tc>
        <w:tc>
          <w:tcPr>
            <w:tcW w:w="1143" w:type="pct"/>
            <w:tcMar>
              <w:top w:w="0" w:type="dxa"/>
              <w:left w:w="108" w:type="dxa"/>
              <w:bottom w:w="0" w:type="dxa"/>
              <w:right w:w="108" w:type="dxa"/>
            </w:tcMar>
            <w:vAlign w:val="center"/>
          </w:tcPr>
          <w:p w14:paraId="52F8CA97" w14:textId="1A73F0E1" w:rsidR="001069D3" w:rsidRPr="00E70F3B" w:rsidRDefault="001069D3" w:rsidP="005224D3">
            <w:pPr>
              <w:spacing w:after="0" w:line="320" w:lineRule="exact"/>
              <w:jc w:val="right"/>
              <w:rPr>
                <w:color w:val="0000FF"/>
                <w:szCs w:val="26"/>
              </w:rPr>
            </w:pPr>
            <w:r w:rsidRPr="00E70F3B">
              <w:rPr>
                <w:color w:val="0000FF"/>
                <w:szCs w:val="26"/>
              </w:rPr>
              <w:t>2.</w:t>
            </w:r>
            <w:r w:rsidR="002D78F6" w:rsidRPr="00E70F3B">
              <w:rPr>
                <w:color w:val="0000FF"/>
                <w:szCs w:val="26"/>
              </w:rPr>
              <w:t>124</w:t>
            </w:r>
          </w:p>
        </w:tc>
        <w:tc>
          <w:tcPr>
            <w:tcW w:w="805" w:type="pct"/>
            <w:tcMar>
              <w:top w:w="0" w:type="dxa"/>
              <w:left w:w="108" w:type="dxa"/>
              <w:bottom w:w="0" w:type="dxa"/>
              <w:right w:w="108" w:type="dxa"/>
            </w:tcMar>
            <w:vAlign w:val="center"/>
          </w:tcPr>
          <w:p w14:paraId="2D80D25B" w14:textId="0451F24A" w:rsidR="001069D3" w:rsidRPr="00E70F3B" w:rsidRDefault="001069D3" w:rsidP="005224D3">
            <w:pPr>
              <w:spacing w:after="0" w:line="320" w:lineRule="exact"/>
              <w:jc w:val="right"/>
              <w:rPr>
                <w:color w:val="0000FF"/>
                <w:szCs w:val="26"/>
              </w:rPr>
            </w:pPr>
            <w:r w:rsidRPr="00E70F3B">
              <w:rPr>
                <w:color w:val="0000FF"/>
                <w:szCs w:val="26"/>
              </w:rPr>
              <w:t>1</w:t>
            </w:r>
            <w:r w:rsidR="002D78F6" w:rsidRPr="00E70F3B">
              <w:rPr>
                <w:color w:val="0000FF"/>
                <w:szCs w:val="26"/>
              </w:rPr>
              <w:t>10</w:t>
            </w:r>
            <w:r w:rsidRPr="00E70F3B">
              <w:rPr>
                <w:color w:val="0000FF"/>
                <w:szCs w:val="26"/>
              </w:rPr>
              <w:t>%</w:t>
            </w:r>
          </w:p>
        </w:tc>
      </w:tr>
      <w:tr w:rsidR="007B189E" w:rsidRPr="007B189E" w14:paraId="3E29FE9F" w14:textId="77777777" w:rsidTr="004519E3">
        <w:trPr>
          <w:trHeight w:val="454"/>
        </w:trPr>
        <w:tc>
          <w:tcPr>
            <w:tcW w:w="305" w:type="pct"/>
            <w:tcMar>
              <w:top w:w="0" w:type="dxa"/>
              <w:left w:w="108" w:type="dxa"/>
              <w:bottom w:w="0" w:type="dxa"/>
              <w:right w:w="108" w:type="dxa"/>
            </w:tcMar>
            <w:vAlign w:val="center"/>
          </w:tcPr>
          <w:p w14:paraId="63CA29B8" w14:textId="77777777" w:rsidR="001069D3" w:rsidRPr="00E70F3B" w:rsidRDefault="001069D3" w:rsidP="005224D3">
            <w:pPr>
              <w:spacing w:after="0" w:line="320" w:lineRule="exact"/>
              <w:jc w:val="center"/>
              <w:rPr>
                <w:b/>
                <w:bCs/>
                <w:color w:val="0000FF"/>
                <w:szCs w:val="26"/>
              </w:rPr>
            </w:pPr>
            <w:r w:rsidRPr="00E70F3B">
              <w:rPr>
                <w:b/>
                <w:bCs/>
                <w:color w:val="0000FF"/>
                <w:szCs w:val="26"/>
              </w:rPr>
              <w:t>4</w:t>
            </w:r>
          </w:p>
        </w:tc>
        <w:tc>
          <w:tcPr>
            <w:tcW w:w="1946" w:type="pct"/>
            <w:tcMar>
              <w:top w:w="0" w:type="dxa"/>
              <w:left w:w="108" w:type="dxa"/>
              <w:bottom w:w="0" w:type="dxa"/>
              <w:right w:w="108" w:type="dxa"/>
            </w:tcMar>
            <w:vAlign w:val="center"/>
          </w:tcPr>
          <w:p w14:paraId="5DAF5F18" w14:textId="2CE0710B" w:rsidR="001069D3" w:rsidRPr="00E70F3B" w:rsidRDefault="001069D3" w:rsidP="005224D3">
            <w:pPr>
              <w:spacing w:after="0" w:line="320" w:lineRule="exact"/>
              <w:rPr>
                <w:b/>
                <w:bCs/>
                <w:color w:val="0000FF"/>
                <w:szCs w:val="26"/>
              </w:rPr>
            </w:pPr>
            <w:r w:rsidRPr="00E70F3B">
              <w:rPr>
                <w:b/>
                <w:bCs/>
                <w:color w:val="0000FF"/>
                <w:szCs w:val="26"/>
              </w:rPr>
              <w:t>Tỷ lệ chia cổ tức (%)</w:t>
            </w:r>
          </w:p>
        </w:tc>
        <w:tc>
          <w:tcPr>
            <w:tcW w:w="801" w:type="pct"/>
            <w:tcMar>
              <w:top w:w="0" w:type="dxa"/>
              <w:left w:w="108" w:type="dxa"/>
              <w:bottom w:w="0" w:type="dxa"/>
              <w:right w:w="108" w:type="dxa"/>
            </w:tcMar>
            <w:vAlign w:val="center"/>
          </w:tcPr>
          <w:p w14:paraId="2BE00119" w14:textId="77777777" w:rsidR="001069D3" w:rsidRPr="00E70F3B" w:rsidRDefault="001069D3" w:rsidP="005224D3">
            <w:pPr>
              <w:spacing w:after="0" w:line="320" w:lineRule="exact"/>
              <w:jc w:val="right"/>
              <w:rPr>
                <w:color w:val="0000FF"/>
                <w:szCs w:val="26"/>
              </w:rPr>
            </w:pPr>
            <w:r w:rsidRPr="00E70F3B">
              <w:rPr>
                <w:color w:val="0000FF"/>
                <w:szCs w:val="26"/>
              </w:rPr>
              <w:t>10</w:t>
            </w:r>
          </w:p>
        </w:tc>
        <w:tc>
          <w:tcPr>
            <w:tcW w:w="1143" w:type="pct"/>
            <w:tcMar>
              <w:top w:w="0" w:type="dxa"/>
              <w:left w:w="108" w:type="dxa"/>
              <w:bottom w:w="0" w:type="dxa"/>
              <w:right w:w="108" w:type="dxa"/>
            </w:tcMar>
            <w:vAlign w:val="center"/>
          </w:tcPr>
          <w:p w14:paraId="4B96ECB4" w14:textId="7D075933" w:rsidR="001069D3" w:rsidRPr="00E70F3B" w:rsidRDefault="00036CA4" w:rsidP="005224D3">
            <w:pPr>
              <w:spacing w:after="0" w:line="320" w:lineRule="exact"/>
              <w:jc w:val="right"/>
              <w:rPr>
                <w:color w:val="0000FF"/>
                <w:szCs w:val="26"/>
              </w:rPr>
            </w:pPr>
            <w:r w:rsidRPr="00E70F3B">
              <w:rPr>
                <w:color w:val="0000FF"/>
                <w:szCs w:val="26"/>
              </w:rPr>
              <w:t>12%</w:t>
            </w:r>
            <w:r w:rsidR="003A14B5" w:rsidRPr="00E70F3B">
              <w:rPr>
                <w:rStyle w:val="FootnoteReference"/>
                <w:color w:val="0000FF"/>
                <w:szCs w:val="26"/>
              </w:rPr>
              <w:footnoteReference w:id="2"/>
            </w:r>
          </w:p>
        </w:tc>
        <w:tc>
          <w:tcPr>
            <w:tcW w:w="805" w:type="pct"/>
            <w:tcMar>
              <w:top w:w="0" w:type="dxa"/>
              <w:left w:w="108" w:type="dxa"/>
              <w:bottom w:w="0" w:type="dxa"/>
              <w:right w:w="108" w:type="dxa"/>
            </w:tcMar>
            <w:vAlign w:val="center"/>
          </w:tcPr>
          <w:p w14:paraId="7803A04F" w14:textId="62E374EB" w:rsidR="001069D3" w:rsidRPr="00E70F3B" w:rsidRDefault="001069D3" w:rsidP="005224D3">
            <w:pPr>
              <w:spacing w:after="0" w:line="320" w:lineRule="exact"/>
              <w:jc w:val="right"/>
              <w:rPr>
                <w:color w:val="0000FF"/>
                <w:szCs w:val="26"/>
              </w:rPr>
            </w:pPr>
            <w:r w:rsidRPr="00E70F3B">
              <w:rPr>
                <w:color w:val="0000FF"/>
                <w:szCs w:val="26"/>
              </w:rPr>
              <w:t>120%</w:t>
            </w:r>
          </w:p>
        </w:tc>
      </w:tr>
    </w:tbl>
    <w:p w14:paraId="39D566BA" w14:textId="77777777" w:rsidR="007D24F3" w:rsidRPr="007B189E" w:rsidRDefault="007D24F3" w:rsidP="00EC7D1B">
      <w:pPr>
        <w:spacing w:before="60" w:after="60" w:line="340" w:lineRule="exact"/>
        <w:ind w:firstLine="561"/>
        <w:jc w:val="both"/>
        <w:rPr>
          <w:bCs/>
          <w:szCs w:val="26"/>
          <w:lang w:val="vi-VN"/>
        </w:rPr>
      </w:pPr>
      <w:r w:rsidRPr="007B189E">
        <w:rPr>
          <w:bCs/>
          <w:szCs w:val="26"/>
          <w:lang w:val="vi-VN"/>
        </w:rPr>
        <w:t>Bên cạnh hoàn thành vượt mức các chỉ tiêu quan trọng được Đại hội đồng cổ đông giao, các lĩnh vực hoạt động khác của Tập đoàn cũng đạt được kết quả tốt, các công việc trọng tâm, nổi bật đã hoàn thành trong năm 2025 như sau:</w:t>
      </w:r>
    </w:p>
    <w:p w14:paraId="4AD2D186" w14:textId="285DA292" w:rsidR="007D24F3" w:rsidRPr="007B189E" w:rsidRDefault="000670D1" w:rsidP="00EC7D1B">
      <w:pPr>
        <w:spacing w:before="60" w:after="60" w:line="340" w:lineRule="exact"/>
        <w:ind w:firstLine="561"/>
        <w:jc w:val="both"/>
        <w:rPr>
          <w:b/>
          <w:szCs w:val="26"/>
          <w:lang w:val="vi-VN"/>
        </w:rPr>
      </w:pPr>
      <w:r w:rsidRPr="007B189E">
        <w:rPr>
          <w:b/>
          <w:szCs w:val="26"/>
          <w:lang w:val="vi-VN"/>
        </w:rPr>
        <w:t>(1)</w:t>
      </w:r>
      <w:r w:rsidR="007D24F3" w:rsidRPr="007B189E">
        <w:rPr>
          <w:b/>
          <w:szCs w:val="26"/>
          <w:lang w:val="vi-VN"/>
        </w:rPr>
        <w:t xml:space="preserve"> Đảm bảo nguồn cung, giữ vững ổn định thị trường xăng dầu</w:t>
      </w:r>
    </w:p>
    <w:p w14:paraId="14BCE75C" w14:textId="6BEF42A0" w:rsidR="007D24F3" w:rsidRPr="007B189E" w:rsidRDefault="007D24F3" w:rsidP="00EC7D1B">
      <w:pPr>
        <w:spacing w:before="60" w:after="60" w:line="340" w:lineRule="exact"/>
        <w:ind w:firstLine="561"/>
        <w:jc w:val="both"/>
        <w:rPr>
          <w:bCs/>
          <w:szCs w:val="26"/>
          <w:lang w:val="vi-VN"/>
        </w:rPr>
      </w:pPr>
      <w:r w:rsidRPr="007B189E">
        <w:rPr>
          <w:bCs/>
          <w:szCs w:val="26"/>
          <w:lang w:val="vi-VN"/>
        </w:rPr>
        <w:t xml:space="preserve">Nghiêm túc thực hiện các chỉ đạo của Chính phủ, Thủ tướng Chính phủ, Bộ Công </w:t>
      </w:r>
      <w:r w:rsidR="005A7439" w:rsidRPr="007B189E">
        <w:rPr>
          <w:bCs/>
          <w:szCs w:val="26"/>
          <w:lang w:val="vi-VN"/>
        </w:rPr>
        <w:t>T</w:t>
      </w:r>
      <w:r w:rsidRPr="007B189E">
        <w:rPr>
          <w:bCs/>
          <w:szCs w:val="26"/>
          <w:lang w:val="vi-VN"/>
        </w:rPr>
        <w:t xml:space="preserve">hương, trong năm 2025 Tập đoàn đã chủ động tổ chức tạo nguồn hoàn thành hạn mức tổng nguồn được Bộ Công thương phân giao; bảo đảm nguồn cung xăng dầu ổn định cho thị trường trong mọi tình huống. </w:t>
      </w:r>
    </w:p>
    <w:p w14:paraId="2E047A8E" w14:textId="77777777" w:rsidR="007D24F3" w:rsidRPr="007B189E" w:rsidRDefault="007D24F3" w:rsidP="00EC7D1B">
      <w:pPr>
        <w:spacing w:before="60" w:after="60" w:line="340" w:lineRule="exact"/>
        <w:ind w:firstLine="561"/>
        <w:jc w:val="both"/>
        <w:rPr>
          <w:bCs/>
          <w:szCs w:val="26"/>
          <w:lang w:val="vi-VN"/>
        </w:rPr>
      </w:pPr>
      <w:r w:rsidRPr="007B189E">
        <w:rPr>
          <w:bCs/>
          <w:szCs w:val="26"/>
          <w:lang w:val="vi-VN"/>
        </w:rPr>
        <w:t>Đặc biệt, chủ động ứng phó, triển khai các kịch bản kịp thời để bảo đảm nguồn cung xăng dầu không bị gián đoạn, phục vụ nhu cầu thiết yếu của người dân, giảm thiểu rủi ro về người và tài sản khi có sự cố thiên tai, bão lũ.</w:t>
      </w:r>
    </w:p>
    <w:p w14:paraId="7CDE7405" w14:textId="1E95AEB3" w:rsidR="007D24F3" w:rsidRPr="007B189E" w:rsidRDefault="000670D1" w:rsidP="00EC7D1B">
      <w:pPr>
        <w:spacing w:before="60" w:after="60" w:line="340" w:lineRule="exact"/>
        <w:ind w:firstLine="561"/>
        <w:jc w:val="both"/>
        <w:rPr>
          <w:bCs/>
          <w:szCs w:val="26"/>
          <w:lang w:val="vi-VN"/>
        </w:rPr>
      </w:pPr>
      <w:r w:rsidRPr="007B189E">
        <w:rPr>
          <w:b/>
          <w:szCs w:val="26"/>
          <w:lang w:val="vi-VN"/>
        </w:rPr>
        <w:t xml:space="preserve">(2) </w:t>
      </w:r>
      <w:r w:rsidR="007D24F3" w:rsidRPr="007B189E">
        <w:rPr>
          <w:b/>
          <w:szCs w:val="26"/>
          <w:lang w:val="vi-VN"/>
        </w:rPr>
        <w:t xml:space="preserve">Triển khai quyết liệt chủ trương sắp xếp, tinh gọn bộ máy theo Nghị quyết số 18-NQ/TW </w:t>
      </w:r>
    </w:p>
    <w:p w14:paraId="7D15ED3B" w14:textId="06A04790" w:rsidR="007D24F3" w:rsidRPr="007B189E" w:rsidRDefault="00DC7569" w:rsidP="00EC7D1B">
      <w:pPr>
        <w:spacing w:before="60" w:after="60" w:line="340" w:lineRule="exact"/>
        <w:ind w:firstLine="561"/>
        <w:jc w:val="both"/>
        <w:rPr>
          <w:bCs/>
          <w:szCs w:val="26"/>
          <w:lang w:val="vi-VN"/>
        </w:rPr>
      </w:pPr>
      <w:r w:rsidRPr="007B189E">
        <w:rPr>
          <w:bCs/>
          <w:szCs w:val="26"/>
          <w:lang w:val="vi-VN"/>
        </w:rPr>
        <w:t>C</w:t>
      </w:r>
      <w:r w:rsidR="007D24F3" w:rsidRPr="007B189E">
        <w:rPr>
          <w:bCs/>
          <w:szCs w:val="26"/>
          <w:lang w:val="vi-VN"/>
        </w:rPr>
        <w:t xml:space="preserve">hủ động rà soát, sắp xếp lại tổ chức bộ máy theo hướng tinh gọn, nâng cao hiệu quả quản trị. Theo đó, số lượng Công ty xăng dầu trong hệ thống đã giảm từ 51 xuống còn 34 công ty; </w:t>
      </w:r>
      <w:r w:rsidR="00CB6159" w:rsidRPr="007B189E">
        <w:rPr>
          <w:szCs w:val="26"/>
          <w:lang w:val="vi-VN"/>
        </w:rPr>
        <w:t xml:space="preserve">Song song với việc sắp xếp các công ty xăng dầu, Tập đoàn thực hiện sáp nhập Tổng Công ty Dịch vụ Xăng dầu Petrolimex vào Công ty Mẹ, và thành lập Ban Điều độ tập trung (DOC); sắp xếp, hợp nhất các Ban chức năng theo mô hình tinh gọn </w:t>
      </w:r>
      <w:r w:rsidR="003A31F3" w:rsidRPr="007B189E">
        <w:rPr>
          <w:szCs w:val="26"/>
          <w:lang w:val="vi-VN"/>
        </w:rPr>
        <w:t>-</w:t>
      </w:r>
      <w:r w:rsidR="00CB6159" w:rsidRPr="007B189E">
        <w:rPr>
          <w:szCs w:val="26"/>
          <w:lang w:val="vi-VN"/>
        </w:rPr>
        <w:t xml:space="preserve"> thông minh </w:t>
      </w:r>
      <w:r w:rsidR="003A31F3" w:rsidRPr="007B189E">
        <w:rPr>
          <w:szCs w:val="26"/>
          <w:lang w:val="vi-VN"/>
        </w:rPr>
        <w:t>-</w:t>
      </w:r>
      <w:r w:rsidR="00CB6159" w:rsidRPr="007B189E">
        <w:rPr>
          <w:szCs w:val="26"/>
          <w:lang w:val="vi-VN"/>
        </w:rPr>
        <w:t xml:space="preserve"> nhất quán (giảm 3 ban); thực hiện giải thể Văn phòng đại diện Tập đoàn tại TP.HCM và Camphuchia, giải thể 3 Chi nhánh Xăng dầu trực thuộc các Công ty</w:t>
      </w:r>
      <w:r w:rsidR="001A4335" w:rsidRPr="007B189E">
        <w:rPr>
          <w:szCs w:val="26"/>
          <w:lang w:val="vi-VN"/>
        </w:rPr>
        <w:t xml:space="preserve">. </w:t>
      </w:r>
      <w:r w:rsidRPr="007B189E">
        <w:rPr>
          <w:bCs/>
          <w:szCs w:val="26"/>
          <w:lang w:val="vi-VN"/>
        </w:rPr>
        <w:t>R</w:t>
      </w:r>
      <w:r w:rsidR="007D24F3" w:rsidRPr="007B189E">
        <w:rPr>
          <w:bCs/>
          <w:szCs w:val="26"/>
          <w:lang w:val="vi-VN"/>
        </w:rPr>
        <w:t>à soát, sửa đổi, bổ sung hệ thống các quy định, quy chế quản lý nội bộ nhằm bảo đảm tính đồng bộ, thống nhất, tạo nền tảng cho sự phát triển bền vững của toàn hệ thống.</w:t>
      </w:r>
    </w:p>
    <w:p w14:paraId="4D3AF5BB" w14:textId="68B3D684" w:rsidR="007D24F3" w:rsidRPr="007B189E" w:rsidRDefault="000670D1" w:rsidP="00EC7D1B">
      <w:pPr>
        <w:spacing w:before="60" w:after="60" w:line="340" w:lineRule="exact"/>
        <w:ind w:firstLine="561"/>
        <w:jc w:val="both"/>
        <w:rPr>
          <w:b/>
          <w:szCs w:val="26"/>
          <w:lang w:val="vi-VN"/>
        </w:rPr>
      </w:pPr>
      <w:r w:rsidRPr="007B189E">
        <w:rPr>
          <w:b/>
          <w:szCs w:val="26"/>
          <w:lang w:val="vi-VN"/>
        </w:rPr>
        <w:t>(3)</w:t>
      </w:r>
      <w:r w:rsidR="007D24F3" w:rsidRPr="007B189E">
        <w:rPr>
          <w:b/>
          <w:szCs w:val="26"/>
          <w:lang w:val="vi-VN"/>
        </w:rPr>
        <w:t xml:space="preserve"> Bảo đảm tuyệt đối an ninh, an toàn trong mọi mặt hoạt động</w:t>
      </w:r>
    </w:p>
    <w:p w14:paraId="69F1E62A" w14:textId="187B328B" w:rsidR="007D24F3" w:rsidRPr="007B189E" w:rsidRDefault="00EC19CE" w:rsidP="00EC7D1B">
      <w:pPr>
        <w:spacing w:before="60" w:after="60" w:line="340" w:lineRule="exact"/>
        <w:ind w:firstLine="561"/>
        <w:jc w:val="both"/>
        <w:rPr>
          <w:bCs/>
          <w:szCs w:val="26"/>
          <w:lang w:val="vi-VN"/>
        </w:rPr>
      </w:pPr>
      <w:r w:rsidRPr="007B189E">
        <w:rPr>
          <w:bCs/>
          <w:szCs w:val="26"/>
          <w:lang w:val="vi-VN"/>
        </w:rPr>
        <w:t xml:space="preserve">HĐQT đã chỉ đạo toàn Tập đoàn thực hiện nghiêm các quy định về an ninh, an toàn trong hoạt động sản xuất kinh doanh; tăng cường kiểm tra, giám sát công tác phòng cháy chữa cháy, bảo vệ môi trường, an toàn kho bể và cửa hàng xăng dầu; đồng thời yêu cầu các đơn vị thường xuyên rà soát, hoàn thiện phương án phòng ngừa, ứng phó sự cố </w:t>
      </w:r>
      <w:r w:rsidRPr="007B189E">
        <w:rPr>
          <w:bCs/>
          <w:szCs w:val="26"/>
          <w:lang w:val="vi-VN"/>
        </w:rPr>
        <w:lastRenderedPageBreak/>
        <w:t xml:space="preserve">và thiên tai, bảo đảm hệ thống vận hành an toàn, liên tục, thông suốt. Năm 2025, toàn Tập đoàn không để xảy ra sự cố mất an toàn nghiêm trọng. </w:t>
      </w:r>
    </w:p>
    <w:p w14:paraId="0017D44B" w14:textId="3862F8DC" w:rsidR="007D24F3" w:rsidRPr="007B189E" w:rsidRDefault="000670D1" w:rsidP="00EC7D1B">
      <w:pPr>
        <w:spacing w:before="60" w:after="60" w:line="340" w:lineRule="exact"/>
        <w:ind w:firstLine="561"/>
        <w:jc w:val="both"/>
        <w:rPr>
          <w:b/>
          <w:szCs w:val="26"/>
          <w:lang w:val="vi-VN"/>
        </w:rPr>
      </w:pPr>
      <w:r w:rsidRPr="007B189E">
        <w:rPr>
          <w:b/>
          <w:szCs w:val="26"/>
          <w:lang w:val="vi-VN"/>
        </w:rPr>
        <w:t>(4)</w:t>
      </w:r>
      <w:r w:rsidR="007D24F3" w:rsidRPr="007B189E">
        <w:rPr>
          <w:b/>
          <w:szCs w:val="26"/>
          <w:lang w:val="vi-VN"/>
        </w:rPr>
        <w:t xml:space="preserve"> Đẩy mạnh ứng dụng công nghệ thông tin và </w:t>
      </w:r>
      <w:r w:rsidR="00AC2AC9" w:rsidRPr="007B189E">
        <w:rPr>
          <w:b/>
          <w:szCs w:val="26"/>
          <w:lang w:val="vi-VN"/>
        </w:rPr>
        <w:t>c</w:t>
      </w:r>
      <w:r w:rsidR="007D24F3" w:rsidRPr="007B189E">
        <w:rPr>
          <w:b/>
          <w:szCs w:val="26"/>
          <w:lang w:val="vi-VN"/>
        </w:rPr>
        <w:t xml:space="preserve">huyển đổi số </w:t>
      </w:r>
    </w:p>
    <w:p w14:paraId="59391A8D" w14:textId="19EEFD6C" w:rsidR="007D24F3" w:rsidRPr="007B189E" w:rsidRDefault="00D03D30" w:rsidP="00EC7D1B">
      <w:pPr>
        <w:spacing w:before="60" w:after="60" w:line="340" w:lineRule="exact"/>
        <w:ind w:firstLine="561"/>
        <w:jc w:val="both"/>
        <w:rPr>
          <w:bCs/>
          <w:szCs w:val="26"/>
          <w:lang w:val="vi-VN"/>
        </w:rPr>
      </w:pPr>
      <w:r w:rsidRPr="007B189E">
        <w:rPr>
          <w:bCs/>
          <w:szCs w:val="26"/>
          <w:lang w:val="vi-VN"/>
        </w:rPr>
        <w:t xml:space="preserve">HĐQT đã chỉ đạo đẩy mạnh chuyển đổi số và ứng dụng công nghệ thông tin trong toàn hệ thống, tập trung vào các lĩnh vực quản trị, vận hành và dịch vụ khách hàng. Trong năm 2025, Tập đoàn đã triển khai hóa đơn điện tử theo Nghị định số 70/2025/NĐ-CP; vận hành các phân hệ quản trị tài sản, quản lý hợp đồng trên ERP; số hóa thông tin giá bán, mở rộng thanh toán không tiền mặt; đồng thời nâng cấp Văn phòng số, vận hành nền tảng Petrolimex ID và đẩy mạnh số hóa hồ sơ, tài liệu theo định hướng Văn phòng không giấy tờ. Nhiều hạng mục chuyển đổi số của Tập đoàn được đánh giá là mô hình tiêu biểu trong khối doanh nghiệp nhà nước. </w:t>
      </w:r>
    </w:p>
    <w:p w14:paraId="7EBC6E08" w14:textId="47202EA2" w:rsidR="007D24F3" w:rsidRPr="007B189E" w:rsidRDefault="000670D1" w:rsidP="00EC7D1B">
      <w:pPr>
        <w:spacing w:before="60" w:after="60" w:line="340" w:lineRule="exact"/>
        <w:ind w:firstLine="561"/>
        <w:jc w:val="both"/>
        <w:rPr>
          <w:b/>
          <w:szCs w:val="26"/>
          <w:lang w:val="vi-VN"/>
        </w:rPr>
      </w:pPr>
      <w:r w:rsidRPr="007B189E">
        <w:rPr>
          <w:b/>
          <w:szCs w:val="26"/>
          <w:lang w:val="vi-VN"/>
        </w:rPr>
        <w:t>(5)</w:t>
      </w:r>
      <w:r w:rsidR="007D24F3" w:rsidRPr="007B189E">
        <w:rPr>
          <w:b/>
          <w:szCs w:val="26"/>
          <w:lang w:val="vi-VN"/>
        </w:rPr>
        <w:t xml:space="preserve"> Công tác đầu tư và phát triển hệ thống</w:t>
      </w:r>
    </w:p>
    <w:p w14:paraId="033649CD" w14:textId="77777777" w:rsidR="003D1560" w:rsidRPr="007B189E" w:rsidRDefault="004427F8" w:rsidP="00EC7D1B">
      <w:pPr>
        <w:spacing w:before="60" w:after="60" w:line="340" w:lineRule="exact"/>
        <w:ind w:firstLine="561"/>
        <w:jc w:val="both"/>
        <w:rPr>
          <w:bCs/>
          <w:szCs w:val="26"/>
          <w:lang w:val="vi-VN"/>
        </w:rPr>
      </w:pPr>
      <w:r w:rsidRPr="007B189E">
        <w:rPr>
          <w:bCs/>
          <w:szCs w:val="26"/>
          <w:lang w:val="vi-VN"/>
        </w:rPr>
        <w:t>Năm 2025, HĐQT đã tập trung chỉ đạo triển khai công tác đầu tư trong toàn Tập đoàn theo đúng định hướng, kế hoạch và các nghị quyết đã đề ra, qua đó đạt được nhiều kết quả quan trọng. Nổi bật</w:t>
      </w:r>
      <w:r w:rsidR="00847833" w:rsidRPr="007B189E">
        <w:rPr>
          <w:bCs/>
          <w:szCs w:val="26"/>
          <w:lang w:val="vi-VN"/>
        </w:rPr>
        <w:t xml:space="preserve"> như</w:t>
      </w:r>
      <w:r w:rsidRPr="007B189E">
        <w:rPr>
          <w:bCs/>
          <w:szCs w:val="26"/>
          <w:lang w:val="vi-VN"/>
        </w:rPr>
        <w:t xml:space="preserve"> </w:t>
      </w:r>
      <w:r w:rsidR="00847833" w:rsidRPr="007B189E">
        <w:rPr>
          <w:bCs/>
          <w:szCs w:val="26"/>
          <w:lang w:val="vi-VN"/>
        </w:rPr>
        <w:t>d</w:t>
      </w:r>
      <w:r w:rsidRPr="007B189E">
        <w:rPr>
          <w:bCs/>
          <w:szCs w:val="26"/>
          <w:lang w:val="vi-VN"/>
        </w:rPr>
        <w:t xml:space="preserve">ự án Tòa nhà văn phòng Tập đoàn tại số 01 Khâm Thiên đã hoàn thành, khánh thành và đưa vào vận hành từ tháng 10/2025, góp phần hoàn thiện hạ tầng làm việc, nâng cao hình ảnh của Tập đoàn. </w:t>
      </w:r>
    </w:p>
    <w:p w14:paraId="447B84A0" w14:textId="4A5D9552" w:rsidR="00555068" w:rsidRPr="007B189E" w:rsidRDefault="004427F8" w:rsidP="00EC7D1B">
      <w:pPr>
        <w:spacing w:before="60" w:after="60" w:line="340" w:lineRule="exact"/>
        <w:ind w:firstLine="561"/>
        <w:jc w:val="both"/>
        <w:rPr>
          <w:bCs/>
          <w:szCs w:val="26"/>
          <w:lang w:val="vi-VN"/>
        </w:rPr>
      </w:pPr>
      <w:r w:rsidRPr="007B189E">
        <w:rPr>
          <w:bCs/>
          <w:szCs w:val="26"/>
          <w:lang w:val="vi-VN"/>
        </w:rPr>
        <w:t xml:space="preserve">Đồng thời, HĐQT </w:t>
      </w:r>
      <w:r w:rsidR="00270FE7" w:rsidRPr="007B189E">
        <w:rPr>
          <w:bCs/>
          <w:szCs w:val="26"/>
          <w:lang w:val="vi-VN"/>
        </w:rPr>
        <w:t xml:space="preserve">cũng </w:t>
      </w:r>
      <w:r w:rsidRPr="007B189E">
        <w:rPr>
          <w:bCs/>
          <w:szCs w:val="26"/>
          <w:lang w:val="vi-VN"/>
        </w:rPr>
        <w:t xml:space="preserve">quyết liệt chỉ đạo </w:t>
      </w:r>
      <w:r w:rsidR="006014F1" w:rsidRPr="007B189E">
        <w:rPr>
          <w:bCs/>
          <w:szCs w:val="26"/>
          <w:lang w:val="vi-VN"/>
        </w:rPr>
        <w:t xml:space="preserve">công tác </w:t>
      </w:r>
      <w:r w:rsidRPr="007B189E">
        <w:rPr>
          <w:bCs/>
          <w:szCs w:val="26"/>
          <w:lang w:val="vi-VN"/>
        </w:rPr>
        <w:t xml:space="preserve">đầu tư phát triển cơ sở vật chất kỹ thuật phục vụ hoạt động sản xuất kinh doanh; tính đến ngày 31/12/2025, Tập đoàn đã </w:t>
      </w:r>
      <w:r w:rsidR="003E5CE1" w:rsidRPr="007B189E">
        <w:rPr>
          <w:bCs/>
          <w:szCs w:val="26"/>
          <w:lang w:val="vi-VN"/>
        </w:rPr>
        <w:t xml:space="preserve">tham gia </w:t>
      </w:r>
      <w:r w:rsidRPr="007B189E">
        <w:rPr>
          <w:bCs/>
          <w:szCs w:val="26"/>
          <w:lang w:val="vi-VN"/>
        </w:rPr>
        <w:t xml:space="preserve">đấu thầu và trúng thầu 9 cặp trạm dừng nghỉ trên tuyến cao tốc Bắc </w:t>
      </w:r>
      <w:r w:rsidR="003E5CE1" w:rsidRPr="007B189E">
        <w:rPr>
          <w:bCs/>
          <w:szCs w:val="26"/>
          <w:lang w:val="vi-VN"/>
        </w:rPr>
        <w:t>-</w:t>
      </w:r>
      <w:r w:rsidRPr="007B189E">
        <w:rPr>
          <w:bCs/>
          <w:szCs w:val="26"/>
          <w:lang w:val="vi-VN"/>
        </w:rPr>
        <w:t xml:space="preserve"> Nam phía Đông, hiện đang </w:t>
      </w:r>
      <w:r w:rsidR="006014F1" w:rsidRPr="007B189E">
        <w:rPr>
          <w:bCs/>
          <w:szCs w:val="26"/>
          <w:lang w:val="vi-VN"/>
        </w:rPr>
        <w:t xml:space="preserve">tích cực </w:t>
      </w:r>
      <w:r w:rsidRPr="007B189E">
        <w:rPr>
          <w:bCs/>
          <w:szCs w:val="26"/>
          <w:lang w:val="vi-VN"/>
        </w:rPr>
        <w:t xml:space="preserve">tập trung nguồn lực triển khai thi công, trong đó </w:t>
      </w:r>
      <w:r w:rsidR="003E5CE1" w:rsidRPr="007B189E">
        <w:rPr>
          <w:bCs/>
          <w:szCs w:val="26"/>
          <w:lang w:val="vi-VN"/>
        </w:rPr>
        <w:t xml:space="preserve">có </w:t>
      </w:r>
      <w:r w:rsidRPr="007B189E">
        <w:rPr>
          <w:bCs/>
          <w:szCs w:val="26"/>
          <w:lang w:val="vi-VN"/>
        </w:rPr>
        <w:t>một số dự án đã hoàn thành, bàn giao và đưa vào khai thác các hạng mục dịch vụ thiết yếu. Kết quả này tiếp tục khẳng định vai trò chỉ đạo sát sao của HĐQT trong thực hiện chiến lược đầu tư, tạo nền tảng mở rộng không gian tăng trưởng và phát triển bền vững cho Tập đoàn.</w:t>
      </w:r>
    </w:p>
    <w:p w14:paraId="14AB896A" w14:textId="397A6C42" w:rsidR="000E6F77" w:rsidRPr="007B189E" w:rsidRDefault="00C66FF6" w:rsidP="00EC7D1B">
      <w:pPr>
        <w:spacing w:before="60" w:after="60" w:line="340" w:lineRule="exact"/>
        <w:ind w:firstLine="561"/>
        <w:jc w:val="both"/>
        <w:rPr>
          <w:bCs/>
          <w:szCs w:val="26"/>
          <w:lang w:val="vi-VN"/>
        </w:rPr>
      </w:pPr>
      <w:r w:rsidRPr="007B189E">
        <w:rPr>
          <w:bCs/>
          <w:szCs w:val="26"/>
          <w:lang w:val="vi-VN"/>
        </w:rPr>
        <w:t>Mặt khác</w:t>
      </w:r>
      <w:r w:rsidR="000E6F77" w:rsidRPr="007B189E">
        <w:rPr>
          <w:bCs/>
          <w:szCs w:val="26"/>
          <w:lang w:val="vi-VN"/>
        </w:rPr>
        <w:t xml:space="preserve">, HĐQT </w:t>
      </w:r>
      <w:r w:rsidRPr="007B189E">
        <w:rPr>
          <w:bCs/>
          <w:szCs w:val="26"/>
          <w:lang w:val="vi-VN"/>
        </w:rPr>
        <w:t xml:space="preserve">cũng </w:t>
      </w:r>
      <w:r w:rsidR="000E6F77" w:rsidRPr="007B189E">
        <w:rPr>
          <w:bCs/>
          <w:szCs w:val="26"/>
          <w:lang w:val="vi-VN"/>
        </w:rPr>
        <w:t xml:space="preserve">chỉ đạo quyết liệt </w:t>
      </w:r>
      <w:r w:rsidR="002C7928" w:rsidRPr="007B189E">
        <w:rPr>
          <w:bCs/>
          <w:szCs w:val="26"/>
          <w:lang w:val="vi-VN"/>
        </w:rPr>
        <w:t xml:space="preserve">trong </w:t>
      </w:r>
      <w:r w:rsidR="000E6F77" w:rsidRPr="007B189E">
        <w:rPr>
          <w:bCs/>
          <w:szCs w:val="26"/>
          <w:lang w:val="vi-VN"/>
        </w:rPr>
        <w:t>dự án thí điểm xây dựng mới, cải tạo tổng thể 12 cửa hàng xăng dầu theo mô hình trạm dịch vụ xe tải, bảo đảm bám sát các nghị quyết của Ban Thường vụ</w:t>
      </w:r>
      <w:r w:rsidR="003E327D" w:rsidRPr="007B189E">
        <w:rPr>
          <w:bCs/>
          <w:szCs w:val="26"/>
          <w:lang w:val="vi-VN"/>
        </w:rPr>
        <w:t xml:space="preserve"> Đảng ủy</w:t>
      </w:r>
      <w:r w:rsidR="000E6F77" w:rsidRPr="007B189E">
        <w:rPr>
          <w:bCs/>
          <w:szCs w:val="26"/>
          <w:lang w:val="vi-VN"/>
        </w:rPr>
        <w:t>, HĐQT</w:t>
      </w:r>
      <w:r w:rsidR="002C7928" w:rsidRPr="007B189E">
        <w:rPr>
          <w:bCs/>
          <w:szCs w:val="26"/>
          <w:lang w:val="vi-VN"/>
        </w:rPr>
        <w:t xml:space="preserve"> Tập đoàn</w:t>
      </w:r>
      <w:r w:rsidR="000E6F77" w:rsidRPr="007B189E">
        <w:rPr>
          <w:bCs/>
          <w:szCs w:val="26"/>
          <w:lang w:val="vi-VN"/>
        </w:rPr>
        <w:t>.</w:t>
      </w:r>
    </w:p>
    <w:p w14:paraId="5422CF6B" w14:textId="7F60B577" w:rsidR="007D24F3" w:rsidRPr="007B189E" w:rsidRDefault="00765344" w:rsidP="00EC7D1B">
      <w:pPr>
        <w:spacing w:before="60" w:after="60" w:line="340" w:lineRule="exact"/>
        <w:ind w:firstLine="561"/>
        <w:jc w:val="both"/>
        <w:rPr>
          <w:bCs/>
          <w:szCs w:val="26"/>
          <w:lang w:val="vi-VN"/>
        </w:rPr>
      </w:pPr>
      <w:r w:rsidRPr="007B189E">
        <w:rPr>
          <w:bCs/>
          <w:szCs w:val="26"/>
          <w:lang w:val="vi-VN"/>
        </w:rPr>
        <w:t xml:space="preserve">Năm 2025, </w:t>
      </w:r>
      <w:r w:rsidR="007D24F3" w:rsidRPr="007B189E">
        <w:rPr>
          <w:bCs/>
          <w:szCs w:val="26"/>
          <w:lang w:val="vi-VN"/>
        </w:rPr>
        <w:t>giá trị thực hiện đầu tư toàn Tập đoàn đạt gần 3.200 tỷ đồng, tương đương 102% kế hoạch. Trong năm, hệ thống bán lẻ được tiếp tục mở rộng với 76 cửa hàng xăng dầu được phát triển mới, nâng tổng số Cửa hàng xăng dầu của Tập đoàn lên 2.831 cửa hàng trên toàn quốc.</w:t>
      </w:r>
    </w:p>
    <w:p w14:paraId="567C2272" w14:textId="5097E89E" w:rsidR="007D24F3" w:rsidRPr="007B189E" w:rsidRDefault="000670D1" w:rsidP="00EC7D1B">
      <w:pPr>
        <w:spacing w:before="60" w:after="60" w:line="340" w:lineRule="exact"/>
        <w:ind w:firstLine="561"/>
        <w:jc w:val="both"/>
        <w:rPr>
          <w:bCs/>
          <w:szCs w:val="26"/>
        </w:rPr>
      </w:pPr>
      <w:r w:rsidRPr="007B189E">
        <w:rPr>
          <w:b/>
          <w:szCs w:val="26"/>
        </w:rPr>
        <w:t>(6)</w:t>
      </w:r>
      <w:r w:rsidR="007D24F3" w:rsidRPr="007B189E">
        <w:rPr>
          <w:b/>
          <w:szCs w:val="26"/>
        </w:rPr>
        <w:t xml:space="preserve"> Công tác </w:t>
      </w:r>
      <w:proofErr w:type="gramStart"/>
      <w:r w:rsidR="007D24F3" w:rsidRPr="007B189E">
        <w:rPr>
          <w:b/>
          <w:szCs w:val="26"/>
        </w:rPr>
        <w:t>an</w:t>
      </w:r>
      <w:proofErr w:type="gramEnd"/>
      <w:r w:rsidR="007D24F3" w:rsidRPr="007B189E">
        <w:rPr>
          <w:b/>
          <w:szCs w:val="26"/>
        </w:rPr>
        <w:t xml:space="preserve"> sinh xã hội</w:t>
      </w:r>
      <w:r w:rsidR="007D24F3" w:rsidRPr="007B189E">
        <w:rPr>
          <w:bCs/>
          <w:szCs w:val="26"/>
        </w:rPr>
        <w:t xml:space="preserve"> </w:t>
      </w:r>
    </w:p>
    <w:p w14:paraId="734262CD" w14:textId="3D32CAC2" w:rsidR="007D24F3" w:rsidRPr="007B189E" w:rsidRDefault="007D24F3" w:rsidP="00EC7D1B">
      <w:pPr>
        <w:spacing w:before="60" w:after="60" w:line="340" w:lineRule="exact"/>
        <w:ind w:firstLine="561"/>
        <w:jc w:val="both"/>
        <w:rPr>
          <w:bCs/>
          <w:szCs w:val="26"/>
        </w:rPr>
      </w:pPr>
      <w:r w:rsidRPr="007B189E">
        <w:rPr>
          <w:bCs/>
          <w:szCs w:val="26"/>
        </w:rPr>
        <w:t>Trong năm 2025,</w:t>
      </w:r>
      <w:r w:rsidR="00DC7569" w:rsidRPr="007B189E">
        <w:rPr>
          <w:bCs/>
          <w:szCs w:val="26"/>
        </w:rPr>
        <w:t xml:space="preserve"> </w:t>
      </w:r>
      <w:r w:rsidR="000F1955" w:rsidRPr="007B189E">
        <w:rPr>
          <w:bCs/>
          <w:szCs w:val="26"/>
        </w:rPr>
        <w:t xml:space="preserve">Tập đoàn </w:t>
      </w:r>
      <w:r w:rsidRPr="007B189E">
        <w:rPr>
          <w:bCs/>
          <w:szCs w:val="26"/>
        </w:rPr>
        <w:t xml:space="preserve">đã triển khai các chương trình </w:t>
      </w:r>
      <w:proofErr w:type="gramStart"/>
      <w:r w:rsidRPr="007B189E">
        <w:rPr>
          <w:bCs/>
          <w:szCs w:val="26"/>
        </w:rPr>
        <w:t>an</w:t>
      </w:r>
      <w:proofErr w:type="gramEnd"/>
      <w:r w:rsidRPr="007B189E">
        <w:rPr>
          <w:bCs/>
          <w:szCs w:val="26"/>
        </w:rPr>
        <w:t xml:space="preserve"> sinh xã hội với tổng giá trị gần 240 tỷ đồng, đạt 100% kế hoạch đề ra. Các hoạt động an sinh xã hội tập trung vào nhiều lĩnh vực thiết thực như: hỗ trợ đồng bào khắc phục hậu quả thiên tai; tham gia chương trình xóa nhà tạm, nhà dột nát cho hộ nghèo; xây dựng trường học; hỗ trợ thiết bị y tế; đóng góp Quỹ Vì người nghèo; hỗ trợ trẻ em có hoàn cảnh khó khăn và trẻ em mắc bệnh hiểm nghèo; tổ chức các hoạt động tri ân nhân dịp Ngày Thương binh</w:t>
      </w:r>
      <w:r w:rsidR="006640E1" w:rsidRPr="007B189E">
        <w:rPr>
          <w:bCs/>
          <w:szCs w:val="26"/>
        </w:rPr>
        <w:t xml:space="preserve"> -</w:t>
      </w:r>
      <w:r w:rsidRPr="007B189E">
        <w:rPr>
          <w:bCs/>
          <w:szCs w:val="26"/>
        </w:rPr>
        <w:t xml:space="preserve"> Liệt sĩ 27/7...</w:t>
      </w:r>
    </w:p>
    <w:p w14:paraId="54D5482F" w14:textId="55B153A8" w:rsidR="007D24F3" w:rsidRPr="007B189E" w:rsidRDefault="007D24F3" w:rsidP="00EC7D1B">
      <w:pPr>
        <w:spacing w:before="60" w:after="60" w:line="340" w:lineRule="exact"/>
        <w:ind w:firstLine="561"/>
        <w:jc w:val="both"/>
        <w:rPr>
          <w:bCs/>
          <w:szCs w:val="26"/>
        </w:rPr>
      </w:pPr>
      <w:r w:rsidRPr="007B189E">
        <w:rPr>
          <w:bCs/>
          <w:szCs w:val="26"/>
        </w:rPr>
        <w:lastRenderedPageBreak/>
        <w:t>Bên cạnh đó, Tập đoàn đã tổ chức nhiều hoạt động văn hóa, thể thao và phong trào thi đua thiết thực hướng tới kỷ niệm 70 năm thành lập Tập đoàn. Đặc biệt, Lễ kỷ niệm 70 năm thành lập Tập đoàn Xăng dầu Việt Nam được tổ chức thành công vào tháng 01/2026, qua đó góp phần tăng cường sự gắn kết trong toàn hệ thống, củng cố niềm tin, khơi dậy tinh thần trách nhiệm và ý chí đổi mới của cán bộ, người lao động, tạo nền tảng tinh thần quan trọng để Tập đoàn bước vào giai đoạn phát triển mới với quyết tâm đổi mới và phát triển bền vững.</w:t>
      </w:r>
    </w:p>
    <w:p w14:paraId="52FD238A" w14:textId="797FBADB" w:rsidR="00505981" w:rsidRPr="007B189E" w:rsidRDefault="00505981" w:rsidP="00EC7D1B">
      <w:pPr>
        <w:spacing w:before="60" w:after="60" w:line="340" w:lineRule="exact"/>
        <w:ind w:firstLine="561"/>
        <w:jc w:val="both"/>
        <w:rPr>
          <w:b/>
          <w:i/>
          <w:szCs w:val="26"/>
        </w:rPr>
      </w:pPr>
      <w:r w:rsidRPr="007B189E">
        <w:rPr>
          <w:b/>
          <w:szCs w:val="26"/>
        </w:rPr>
        <w:t>2.</w:t>
      </w:r>
      <w:r w:rsidR="008E25A2" w:rsidRPr="007B189E">
        <w:rPr>
          <w:b/>
          <w:szCs w:val="26"/>
        </w:rPr>
        <w:t>2</w:t>
      </w:r>
      <w:r w:rsidR="007B692A" w:rsidRPr="007B189E">
        <w:rPr>
          <w:b/>
          <w:szCs w:val="26"/>
        </w:rPr>
        <w:t>.</w:t>
      </w:r>
      <w:r w:rsidRPr="007B189E">
        <w:rPr>
          <w:b/>
          <w:szCs w:val="26"/>
        </w:rPr>
        <w:t xml:space="preserve"> Về phương án phân phối lợi nhuận và chi trả cổ tức năm 202</w:t>
      </w:r>
      <w:r w:rsidR="003F221C" w:rsidRPr="007B189E">
        <w:rPr>
          <w:b/>
          <w:szCs w:val="26"/>
        </w:rPr>
        <w:t>4</w:t>
      </w:r>
    </w:p>
    <w:p w14:paraId="7B0D69AC" w14:textId="77777777" w:rsidR="00E01A05" w:rsidRPr="007B189E" w:rsidRDefault="00E01A05" w:rsidP="00EC7D1B">
      <w:pPr>
        <w:spacing w:before="60" w:after="60" w:line="340" w:lineRule="exact"/>
        <w:ind w:firstLine="567"/>
        <w:jc w:val="both"/>
        <w:rPr>
          <w:i/>
          <w:spacing w:val="6"/>
          <w:szCs w:val="26"/>
        </w:rPr>
      </w:pPr>
      <w:r w:rsidRPr="007B189E">
        <w:rPr>
          <w:iCs/>
          <w:spacing w:val="6"/>
          <w:szCs w:val="26"/>
        </w:rPr>
        <w:t xml:space="preserve">Thực hiện Nghị quyết ĐHĐCĐ thường niên năm 2024, HĐQT đã chỉ đạo triển khai thực hiện việc chi trả cổ tức theo đúng quy định của pháp luật </w:t>
      </w:r>
      <w:r w:rsidRPr="007B189E">
        <w:rPr>
          <w:i/>
          <w:spacing w:val="6"/>
          <w:szCs w:val="26"/>
        </w:rPr>
        <w:t>(cổ tức năm 2024 là 12%)</w:t>
      </w:r>
    </w:p>
    <w:p w14:paraId="5644AD7B" w14:textId="0509583D" w:rsidR="00505981" w:rsidRPr="007B189E" w:rsidRDefault="00505981" w:rsidP="00EC7D1B">
      <w:pPr>
        <w:shd w:val="clear" w:color="auto" w:fill="FFFFFF" w:themeFill="background1"/>
        <w:spacing w:before="60" w:after="60" w:line="340" w:lineRule="exact"/>
        <w:ind w:firstLine="562"/>
        <w:jc w:val="both"/>
        <w:rPr>
          <w:b/>
          <w:i/>
          <w:iCs/>
          <w:szCs w:val="26"/>
        </w:rPr>
      </w:pPr>
      <w:r w:rsidRPr="007B189E">
        <w:rPr>
          <w:b/>
          <w:szCs w:val="26"/>
        </w:rPr>
        <w:t>2.</w:t>
      </w:r>
      <w:r w:rsidR="008E25A2" w:rsidRPr="007B189E">
        <w:rPr>
          <w:b/>
          <w:szCs w:val="26"/>
        </w:rPr>
        <w:t>3</w:t>
      </w:r>
      <w:r w:rsidR="007B692A" w:rsidRPr="007B189E">
        <w:rPr>
          <w:b/>
          <w:szCs w:val="26"/>
        </w:rPr>
        <w:t>.</w:t>
      </w:r>
      <w:r w:rsidRPr="007B189E">
        <w:rPr>
          <w:b/>
          <w:szCs w:val="26"/>
        </w:rPr>
        <w:t xml:space="preserve"> Thù lao và chi phí hoạt động của Hội đồng quản trị</w:t>
      </w:r>
      <w:r w:rsidR="00F35E43" w:rsidRPr="007B189E">
        <w:rPr>
          <w:b/>
          <w:szCs w:val="26"/>
        </w:rPr>
        <w:t xml:space="preserve"> </w:t>
      </w:r>
    </w:p>
    <w:p w14:paraId="246E8464" w14:textId="4B4787E8" w:rsidR="00455C13" w:rsidRPr="007B189E" w:rsidRDefault="007658EC" w:rsidP="00EC7D1B">
      <w:pPr>
        <w:spacing w:before="60" w:after="60" w:line="340" w:lineRule="exact"/>
        <w:ind w:firstLine="562"/>
        <w:jc w:val="both"/>
        <w:rPr>
          <w:iCs/>
          <w:szCs w:val="26"/>
        </w:rPr>
      </w:pPr>
      <w:r w:rsidRPr="007B189E">
        <w:rPr>
          <w:iCs/>
          <w:szCs w:val="26"/>
          <w:lang w:val="vi-VN"/>
        </w:rPr>
        <w:t>Tiền lương, thù lao và các chi phí hoạt động của HĐQT năm 202</w:t>
      </w:r>
      <w:r w:rsidRPr="007B189E">
        <w:rPr>
          <w:iCs/>
          <w:szCs w:val="26"/>
        </w:rPr>
        <w:t>5</w:t>
      </w:r>
      <w:r w:rsidRPr="007B189E">
        <w:rPr>
          <w:iCs/>
          <w:szCs w:val="26"/>
          <w:lang w:val="vi-VN"/>
        </w:rPr>
        <w:t xml:space="preserve"> đã được chi trả theo đúng Nghị quyết Đại hội đồng cổ đông thường niên năm 202</w:t>
      </w:r>
      <w:r w:rsidRPr="007B189E">
        <w:rPr>
          <w:iCs/>
          <w:szCs w:val="26"/>
        </w:rPr>
        <w:t>5</w:t>
      </w:r>
      <w:r w:rsidRPr="007B189E">
        <w:rPr>
          <w:iCs/>
          <w:szCs w:val="26"/>
          <w:lang w:val="vi-VN"/>
        </w:rPr>
        <w:t>.</w:t>
      </w:r>
    </w:p>
    <w:p w14:paraId="27437B1C" w14:textId="6EFB8CB9" w:rsidR="007658EC" w:rsidRPr="007B189E" w:rsidRDefault="007658EC" w:rsidP="00EC7D1B">
      <w:pPr>
        <w:autoSpaceDE w:val="0"/>
        <w:autoSpaceDN w:val="0"/>
        <w:adjustRightInd w:val="0"/>
        <w:spacing w:before="60" w:after="60" w:line="340" w:lineRule="exact"/>
        <w:ind w:firstLine="567"/>
        <w:jc w:val="both"/>
        <w:rPr>
          <w:i/>
          <w:iCs/>
          <w:szCs w:val="26"/>
        </w:rPr>
      </w:pPr>
      <w:r w:rsidRPr="007B189E">
        <w:rPr>
          <w:iCs/>
          <w:szCs w:val="26"/>
          <w:lang w:val="vi-VN"/>
        </w:rPr>
        <w:t>Tổng tiền lương, thù lao của các thành viên HĐQT năm 202</w:t>
      </w:r>
      <w:r w:rsidRPr="007B189E">
        <w:rPr>
          <w:iCs/>
          <w:szCs w:val="26"/>
        </w:rPr>
        <w:t>5</w:t>
      </w:r>
      <w:r w:rsidRPr="007B189E">
        <w:rPr>
          <w:iCs/>
          <w:szCs w:val="26"/>
          <w:lang w:val="vi-VN"/>
        </w:rPr>
        <w:t xml:space="preserve"> dự kiến trình ĐHĐCĐ thông qua là </w:t>
      </w:r>
      <w:r w:rsidRPr="007B189E">
        <w:rPr>
          <w:szCs w:val="26"/>
          <w:lang w:val="vi-VN"/>
        </w:rPr>
        <w:t xml:space="preserve">5.022.328.941 đồng </w:t>
      </w:r>
      <w:r w:rsidRPr="007B189E">
        <w:rPr>
          <w:i/>
          <w:iCs/>
          <w:szCs w:val="26"/>
          <w:lang w:val="vi-VN"/>
        </w:rPr>
        <w:t>(Tờ trình chi tiết, sẽ được trình bày tại phần sau của Đại hội).</w:t>
      </w:r>
      <w:r w:rsidRPr="007B189E">
        <w:rPr>
          <w:i/>
          <w:iCs/>
          <w:szCs w:val="26"/>
        </w:rPr>
        <w:t xml:space="preserve"> </w:t>
      </w:r>
    </w:p>
    <w:p w14:paraId="3043F4D2" w14:textId="152C9CA8" w:rsidR="007658EC" w:rsidRPr="007B189E" w:rsidRDefault="007658EC" w:rsidP="00EC7D1B">
      <w:pPr>
        <w:spacing w:before="60" w:after="60" w:line="340" w:lineRule="exact"/>
        <w:ind w:firstLine="562"/>
        <w:jc w:val="both"/>
        <w:rPr>
          <w:bCs/>
          <w:szCs w:val="26"/>
          <w:lang w:val="vi-VN"/>
        </w:rPr>
      </w:pPr>
      <w:r w:rsidRPr="007B189E">
        <w:rPr>
          <w:iCs/>
          <w:szCs w:val="26"/>
          <w:lang w:val="vi-VN"/>
        </w:rPr>
        <w:t>Về chi phí hoạt động của HĐQT năm 202</w:t>
      </w:r>
      <w:r w:rsidRPr="007B189E">
        <w:rPr>
          <w:iCs/>
          <w:szCs w:val="26"/>
        </w:rPr>
        <w:t>5</w:t>
      </w:r>
      <w:r w:rsidRPr="007B189E">
        <w:rPr>
          <w:iCs/>
          <w:szCs w:val="26"/>
          <w:lang w:val="vi-VN"/>
        </w:rPr>
        <w:t>: Tuân thủ theo Quy chế hoạt động của HĐQT và Quy chế chi tiêu nội bộ của Petrolimex.</w:t>
      </w:r>
    </w:p>
    <w:p w14:paraId="2DFB2FF2" w14:textId="3BAD0CD6" w:rsidR="00505981" w:rsidRPr="007B189E" w:rsidRDefault="00505981" w:rsidP="00EC7D1B">
      <w:pPr>
        <w:spacing w:before="60" w:after="60" w:line="340" w:lineRule="exact"/>
        <w:ind w:firstLine="562"/>
        <w:jc w:val="both"/>
        <w:rPr>
          <w:b/>
          <w:i/>
          <w:szCs w:val="26"/>
          <w:lang w:val="vi-VN"/>
        </w:rPr>
      </w:pPr>
      <w:r w:rsidRPr="007B189E">
        <w:rPr>
          <w:b/>
          <w:szCs w:val="26"/>
          <w:lang w:val="vi-VN"/>
        </w:rPr>
        <w:t>2.</w:t>
      </w:r>
      <w:r w:rsidR="008E25A2" w:rsidRPr="007B189E">
        <w:rPr>
          <w:b/>
          <w:szCs w:val="26"/>
          <w:lang w:val="vi-VN"/>
        </w:rPr>
        <w:t>4</w:t>
      </w:r>
      <w:r w:rsidR="007B692A" w:rsidRPr="007B189E">
        <w:rPr>
          <w:b/>
          <w:szCs w:val="26"/>
          <w:lang w:val="vi-VN"/>
        </w:rPr>
        <w:t>.</w:t>
      </w:r>
      <w:r w:rsidRPr="007B189E">
        <w:rPr>
          <w:b/>
          <w:szCs w:val="26"/>
          <w:lang w:val="vi-VN"/>
        </w:rPr>
        <w:t xml:space="preserve"> Hoạt động của các ban thuộc HĐQT</w:t>
      </w:r>
    </w:p>
    <w:p w14:paraId="058C72EB" w14:textId="53705258" w:rsidR="005A601D" w:rsidRPr="007B189E" w:rsidRDefault="005A601D" w:rsidP="00EC7D1B">
      <w:pPr>
        <w:spacing w:before="60" w:after="60" w:line="340" w:lineRule="exact"/>
        <w:ind w:firstLine="562"/>
        <w:jc w:val="both"/>
        <w:rPr>
          <w:bCs/>
          <w:szCs w:val="26"/>
          <w:lang w:val="vi-VN"/>
        </w:rPr>
      </w:pPr>
      <w:r w:rsidRPr="007B189E">
        <w:rPr>
          <w:bCs/>
          <w:szCs w:val="26"/>
          <w:lang w:val="vi-VN"/>
        </w:rPr>
        <w:t xml:space="preserve">Trong </w:t>
      </w:r>
      <w:r w:rsidR="00D26FA6" w:rsidRPr="007B189E">
        <w:rPr>
          <w:bCs/>
          <w:szCs w:val="26"/>
          <w:lang w:val="vi-VN"/>
        </w:rPr>
        <w:t>nă</w:t>
      </w:r>
      <w:r w:rsidR="00AA6633" w:rsidRPr="007B189E">
        <w:rPr>
          <w:bCs/>
          <w:szCs w:val="26"/>
          <w:lang w:val="vi-VN"/>
        </w:rPr>
        <w:t xml:space="preserve">m </w:t>
      </w:r>
      <w:r w:rsidR="00D26FA6" w:rsidRPr="007B189E">
        <w:rPr>
          <w:bCs/>
          <w:szCs w:val="26"/>
          <w:lang w:val="vi-VN"/>
        </w:rPr>
        <w:t>2025</w:t>
      </w:r>
      <w:r w:rsidRPr="007B189E">
        <w:rPr>
          <w:bCs/>
          <w:szCs w:val="26"/>
          <w:lang w:val="vi-VN"/>
        </w:rPr>
        <w:t xml:space="preserve">, các Ban thuộc HĐQT đã làm tốt công tác tham mưu, </w:t>
      </w:r>
      <w:r w:rsidR="00743245" w:rsidRPr="007B189E">
        <w:rPr>
          <w:bCs/>
          <w:szCs w:val="26"/>
          <w:lang w:val="vi-VN"/>
        </w:rPr>
        <w:t xml:space="preserve">giúp việc </w:t>
      </w:r>
      <w:r w:rsidRPr="007B189E">
        <w:rPr>
          <w:bCs/>
          <w:szCs w:val="26"/>
          <w:lang w:val="vi-VN"/>
        </w:rPr>
        <w:t xml:space="preserve">cho HĐQT theo chức năng, nhiệm vụ được giao; đã tham mưu cho HĐQT trong việc </w:t>
      </w:r>
      <w:r w:rsidR="00743245" w:rsidRPr="007B189E">
        <w:rPr>
          <w:bCs/>
          <w:szCs w:val="26"/>
          <w:lang w:val="vi-VN"/>
        </w:rPr>
        <w:t xml:space="preserve">sắp xếp, tinh gọn bộ máy, </w:t>
      </w:r>
      <w:r w:rsidRPr="007B189E">
        <w:rPr>
          <w:bCs/>
          <w:szCs w:val="26"/>
          <w:lang w:val="vi-VN"/>
        </w:rPr>
        <w:t>rà soát</w:t>
      </w:r>
      <w:r w:rsidR="006B35EB" w:rsidRPr="007B189E">
        <w:rPr>
          <w:bCs/>
          <w:szCs w:val="26"/>
          <w:lang w:val="vi-VN"/>
        </w:rPr>
        <w:t xml:space="preserve">, </w:t>
      </w:r>
      <w:r w:rsidRPr="007B189E">
        <w:rPr>
          <w:bCs/>
          <w:szCs w:val="26"/>
          <w:lang w:val="vi-VN"/>
        </w:rPr>
        <w:t>xây dựng</w:t>
      </w:r>
      <w:r w:rsidR="006B35EB" w:rsidRPr="007B189E">
        <w:rPr>
          <w:bCs/>
          <w:szCs w:val="26"/>
          <w:lang w:val="vi-VN"/>
        </w:rPr>
        <w:t xml:space="preserve">, </w:t>
      </w:r>
      <w:r w:rsidR="00C47EEB" w:rsidRPr="007B189E">
        <w:rPr>
          <w:bCs/>
          <w:szCs w:val="26"/>
          <w:lang w:val="vi-VN"/>
        </w:rPr>
        <w:t>sửa đổi Điều lệ,</w:t>
      </w:r>
      <w:r w:rsidRPr="007B189E">
        <w:rPr>
          <w:bCs/>
          <w:szCs w:val="26"/>
          <w:lang w:val="vi-VN"/>
        </w:rPr>
        <w:t xml:space="preserve"> các quy chế, quy định về quản trị nội bộ Tập đoàn phù hợp với quy định mới của pháp luật và thực tiễn của Petrolimex; thẩm định các đề án, phương án do </w:t>
      </w:r>
      <w:r w:rsidR="00C47EEB" w:rsidRPr="007B189E">
        <w:rPr>
          <w:bCs/>
          <w:szCs w:val="26"/>
          <w:lang w:val="vi-VN"/>
        </w:rPr>
        <w:t xml:space="preserve">Tổng giám đốc và </w:t>
      </w:r>
      <w:r w:rsidRPr="007B189E">
        <w:rPr>
          <w:bCs/>
          <w:szCs w:val="26"/>
          <w:lang w:val="vi-VN"/>
        </w:rPr>
        <w:t>các đơn vị trình để HĐQT quyết định theo thẩm quyền</w:t>
      </w:r>
      <w:r w:rsidR="00743245" w:rsidRPr="007B189E">
        <w:rPr>
          <w:bCs/>
          <w:szCs w:val="26"/>
          <w:lang w:val="vi-VN"/>
        </w:rPr>
        <w:t>.</w:t>
      </w:r>
    </w:p>
    <w:p w14:paraId="182CF1B4" w14:textId="2533BC7A" w:rsidR="00505981" w:rsidRPr="007B189E" w:rsidRDefault="00505981" w:rsidP="00EC7D1B">
      <w:pPr>
        <w:spacing w:before="60" w:after="60" w:line="340" w:lineRule="exact"/>
        <w:ind w:firstLine="562"/>
        <w:jc w:val="both"/>
        <w:rPr>
          <w:b/>
          <w:i/>
          <w:szCs w:val="26"/>
          <w:lang w:val="vi-VN"/>
        </w:rPr>
      </w:pPr>
      <w:r w:rsidRPr="007B189E">
        <w:rPr>
          <w:b/>
          <w:szCs w:val="26"/>
          <w:lang w:val="vi-VN"/>
        </w:rPr>
        <w:t>2.</w:t>
      </w:r>
      <w:r w:rsidR="008E25A2" w:rsidRPr="007B189E">
        <w:rPr>
          <w:b/>
          <w:szCs w:val="26"/>
          <w:lang w:val="vi-VN"/>
        </w:rPr>
        <w:t>5</w:t>
      </w:r>
      <w:r w:rsidR="007B692A" w:rsidRPr="007B189E">
        <w:rPr>
          <w:b/>
          <w:szCs w:val="26"/>
          <w:lang w:val="vi-VN"/>
        </w:rPr>
        <w:t>.</w:t>
      </w:r>
      <w:r w:rsidRPr="007B189E">
        <w:rPr>
          <w:b/>
          <w:szCs w:val="26"/>
          <w:lang w:val="vi-VN"/>
        </w:rPr>
        <w:t xml:space="preserve"> Công tác giám sát đối với Tổng </w:t>
      </w:r>
      <w:r w:rsidR="00777FEC" w:rsidRPr="007B189E">
        <w:rPr>
          <w:b/>
          <w:szCs w:val="26"/>
          <w:lang w:val="vi-VN"/>
        </w:rPr>
        <w:t>G</w:t>
      </w:r>
      <w:r w:rsidRPr="007B189E">
        <w:rPr>
          <w:b/>
          <w:szCs w:val="26"/>
          <w:lang w:val="vi-VN"/>
        </w:rPr>
        <w:t>iám đốc và người quản lý</w:t>
      </w:r>
    </w:p>
    <w:p w14:paraId="354B7C6C" w14:textId="072DD4E7" w:rsidR="002728ED" w:rsidRPr="007B189E" w:rsidRDefault="002728ED" w:rsidP="00EC7D1B">
      <w:pPr>
        <w:spacing w:before="60" w:after="60" w:line="340" w:lineRule="exact"/>
        <w:ind w:firstLine="562"/>
        <w:jc w:val="both"/>
        <w:rPr>
          <w:bCs/>
          <w:szCs w:val="26"/>
          <w:lang w:val="vi-VN"/>
        </w:rPr>
      </w:pPr>
      <w:r w:rsidRPr="007B189E">
        <w:rPr>
          <w:bCs/>
          <w:szCs w:val="26"/>
          <w:lang w:val="vi-VN"/>
        </w:rPr>
        <w:t xml:space="preserve">Trong </w:t>
      </w:r>
      <w:r w:rsidR="00AA6633" w:rsidRPr="007B189E">
        <w:rPr>
          <w:bCs/>
          <w:szCs w:val="26"/>
          <w:lang w:val="vi-VN"/>
        </w:rPr>
        <w:t>năm</w:t>
      </w:r>
      <w:r w:rsidRPr="007B189E">
        <w:rPr>
          <w:bCs/>
          <w:szCs w:val="26"/>
          <w:lang w:val="vi-VN"/>
        </w:rPr>
        <w:t xml:space="preserve"> 2025, HĐQ</w:t>
      </w:r>
      <w:r w:rsidR="008A16FA" w:rsidRPr="007B189E">
        <w:rPr>
          <w:bCs/>
          <w:szCs w:val="26"/>
          <w:lang w:val="vi-VN"/>
        </w:rPr>
        <w:t xml:space="preserve">T </w:t>
      </w:r>
      <w:r w:rsidRPr="007B189E">
        <w:rPr>
          <w:bCs/>
          <w:szCs w:val="26"/>
          <w:lang w:val="vi-VN"/>
        </w:rPr>
        <w:t xml:space="preserve">đã thực hiện đầy đủ chức năng giám sát đối với Tổng </w:t>
      </w:r>
      <w:r w:rsidR="00777FEC" w:rsidRPr="007B189E">
        <w:rPr>
          <w:bCs/>
          <w:szCs w:val="26"/>
          <w:lang w:val="vi-VN"/>
        </w:rPr>
        <w:t>G</w:t>
      </w:r>
      <w:r w:rsidRPr="007B189E">
        <w:rPr>
          <w:bCs/>
          <w:szCs w:val="26"/>
          <w:lang w:val="vi-VN"/>
        </w:rPr>
        <w:t>iám đốc theo quy định của Luật Doanh nghiệp, Điều lệ Tập đoàn và các quy chế quản trị nội bộ; đồng thời bảo đảm sự phối hợp chặt chẽ giữa chức năng quản trị của HĐQT và chức năng điều hành của Ban Điều hành nhằm nâng cao hiệu lực, hiệu quả hoạt động của Tập đoàn.</w:t>
      </w:r>
    </w:p>
    <w:p w14:paraId="70097F62" w14:textId="3F40936C" w:rsidR="002728ED" w:rsidRPr="007B189E" w:rsidRDefault="002728ED" w:rsidP="00EC7D1B">
      <w:pPr>
        <w:spacing w:before="60" w:after="60" w:line="340" w:lineRule="exact"/>
        <w:ind w:firstLine="562"/>
        <w:jc w:val="both"/>
        <w:rPr>
          <w:bCs/>
          <w:szCs w:val="26"/>
          <w:lang w:val="vi-VN"/>
        </w:rPr>
      </w:pPr>
      <w:r w:rsidRPr="007B189E">
        <w:rPr>
          <w:bCs/>
          <w:szCs w:val="26"/>
          <w:lang w:val="vi-VN"/>
        </w:rPr>
        <w:t xml:space="preserve">HĐQT luôn theo dõi sát sao hoạt động điều hành của Tổng </w:t>
      </w:r>
      <w:r w:rsidR="00777FEC" w:rsidRPr="007B189E">
        <w:rPr>
          <w:bCs/>
          <w:szCs w:val="26"/>
          <w:lang w:val="vi-VN"/>
        </w:rPr>
        <w:t>G</w:t>
      </w:r>
      <w:r w:rsidRPr="007B189E">
        <w:rPr>
          <w:bCs/>
          <w:szCs w:val="26"/>
          <w:lang w:val="vi-VN"/>
        </w:rPr>
        <w:t xml:space="preserve">iám đốc, thông qua </w:t>
      </w:r>
      <w:r w:rsidR="00743245" w:rsidRPr="007B189E">
        <w:rPr>
          <w:bCs/>
          <w:szCs w:val="26"/>
          <w:lang w:val="vi-VN"/>
        </w:rPr>
        <w:t xml:space="preserve">báo cáo tại </w:t>
      </w:r>
      <w:r w:rsidRPr="007B189E">
        <w:rPr>
          <w:bCs/>
          <w:szCs w:val="26"/>
          <w:lang w:val="vi-VN"/>
        </w:rPr>
        <w:t>các phiên họp HĐQT, các báo cáo định kỳ</w:t>
      </w:r>
      <w:r w:rsidR="00743245" w:rsidRPr="007B189E">
        <w:rPr>
          <w:bCs/>
          <w:szCs w:val="26"/>
          <w:lang w:val="vi-VN"/>
        </w:rPr>
        <w:t>,</w:t>
      </w:r>
      <w:r w:rsidRPr="007B189E">
        <w:rPr>
          <w:bCs/>
          <w:szCs w:val="26"/>
          <w:lang w:val="vi-VN"/>
        </w:rPr>
        <w:t xml:space="preserve"> đột xuất của Ban Điều hành, cũng như thông qua hệ thống kiểm soát nội bộ và cơ chế giám sát quản trị doanh nghiệp. Trên cơ sở đó, HĐQT kịp thời xem xét, chỉ đạo và giải quyết các vấn đề quan trọng thuộc thẩm quyền, tạo điều kiện thuận lợi để Tổng giám đốc và Ban Điều hành chủ động, linh hoạt trong công tác điều hành sản xuất kinh doanh của Tập đoàn. </w:t>
      </w:r>
    </w:p>
    <w:p w14:paraId="17CB0FD8" w14:textId="4557CFA8" w:rsidR="002728ED" w:rsidRPr="007B189E" w:rsidRDefault="002728ED" w:rsidP="00EC7D1B">
      <w:pPr>
        <w:spacing w:before="60" w:after="60" w:line="340" w:lineRule="exact"/>
        <w:ind w:firstLine="562"/>
        <w:jc w:val="both"/>
        <w:rPr>
          <w:bCs/>
          <w:szCs w:val="26"/>
          <w:lang w:val="vi-VN"/>
        </w:rPr>
      </w:pPr>
      <w:r w:rsidRPr="007B189E">
        <w:rPr>
          <w:bCs/>
          <w:szCs w:val="26"/>
          <w:lang w:val="vi-VN"/>
        </w:rPr>
        <w:t xml:space="preserve">Tổng </w:t>
      </w:r>
      <w:r w:rsidR="00777FEC" w:rsidRPr="007B189E">
        <w:rPr>
          <w:bCs/>
          <w:szCs w:val="26"/>
          <w:lang w:val="vi-VN"/>
        </w:rPr>
        <w:t>G</w:t>
      </w:r>
      <w:r w:rsidRPr="007B189E">
        <w:rPr>
          <w:bCs/>
          <w:szCs w:val="26"/>
          <w:lang w:val="vi-VN"/>
        </w:rPr>
        <w:t xml:space="preserve">iám đốc </w:t>
      </w:r>
      <w:r w:rsidR="00743245" w:rsidRPr="007B189E">
        <w:rPr>
          <w:bCs/>
          <w:szCs w:val="26"/>
          <w:lang w:val="vi-VN"/>
        </w:rPr>
        <w:t xml:space="preserve">và Ban Điều hành </w:t>
      </w:r>
      <w:r w:rsidRPr="007B189E">
        <w:rPr>
          <w:bCs/>
          <w:szCs w:val="26"/>
          <w:lang w:val="vi-VN"/>
        </w:rPr>
        <w:t>đã triển khai đầy đủ</w:t>
      </w:r>
      <w:r w:rsidR="00743245" w:rsidRPr="007B189E">
        <w:rPr>
          <w:bCs/>
          <w:szCs w:val="26"/>
          <w:lang w:val="vi-VN"/>
        </w:rPr>
        <w:t>,</w:t>
      </w:r>
      <w:r w:rsidRPr="007B189E">
        <w:rPr>
          <w:bCs/>
          <w:szCs w:val="26"/>
          <w:lang w:val="vi-VN"/>
        </w:rPr>
        <w:t xml:space="preserve"> nghiêm túc các nghị quyết, quyết định của Đại hội đồng cổ đông và Hội đồng quản trị; đồng thời điều hành </w:t>
      </w:r>
      <w:r w:rsidR="00743245" w:rsidRPr="007B189E">
        <w:rPr>
          <w:bCs/>
          <w:szCs w:val="26"/>
          <w:lang w:val="vi-VN"/>
        </w:rPr>
        <w:t xml:space="preserve">hoạt </w:t>
      </w:r>
      <w:r w:rsidR="00743245" w:rsidRPr="007B189E">
        <w:rPr>
          <w:bCs/>
          <w:szCs w:val="26"/>
          <w:lang w:val="vi-VN"/>
        </w:rPr>
        <w:lastRenderedPageBreak/>
        <w:t xml:space="preserve">động sản xuất kinh doanh </w:t>
      </w:r>
      <w:r w:rsidRPr="007B189E">
        <w:rPr>
          <w:bCs/>
          <w:szCs w:val="26"/>
          <w:lang w:val="vi-VN"/>
        </w:rPr>
        <w:t>theo đúng phân cấp, tuân thủ các quy định tại Điều lệ Tập đoàn và hệ thống quy chế quản lý nội bộ. Ban Điều hành đã chủ động triển khai nhiều giải pháp quản trị</w:t>
      </w:r>
      <w:r w:rsidR="00743245" w:rsidRPr="007B189E">
        <w:rPr>
          <w:bCs/>
          <w:szCs w:val="26"/>
          <w:lang w:val="vi-VN"/>
        </w:rPr>
        <w:t>,</w:t>
      </w:r>
      <w:r w:rsidRPr="007B189E">
        <w:rPr>
          <w:bCs/>
          <w:szCs w:val="26"/>
          <w:lang w:val="vi-VN"/>
        </w:rPr>
        <w:t xml:space="preserve"> </w:t>
      </w:r>
      <w:r w:rsidR="00743245" w:rsidRPr="007B189E">
        <w:rPr>
          <w:bCs/>
          <w:szCs w:val="26"/>
          <w:lang w:val="vi-VN"/>
        </w:rPr>
        <w:t xml:space="preserve">tăng cường quản trị chi phí, tối ưu hóa hoạt động kinh doanh và phát huy hiệu quả hệ thống cơ sở vật chất kỹ thuật của Tập đoàn; </w:t>
      </w:r>
      <w:r w:rsidRPr="007B189E">
        <w:rPr>
          <w:bCs/>
          <w:szCs w:val="26"/>
          <w:lang w:val="vi-VN"/>
        </w:rPr>
        <w:t xml:space="preserve">điều hành đồng bộ, linh hoạt, phù hợp với định hướng của HĐQT và diễn biến của thị trường năng lượng trong từng thời kỳ. Đặc biệt trong các giai đoạn thị trường xăng dầu có nhiều biến động, Ban Điều hành đã kịp thời tổ chức các giải pháp kinh doanh và hỗ trợ kinh doanh nhằm bảo đảm nguồn cung xăng dầu cho thị trường trong nước, góp phần quan trọng vào việc giữ ổn định thị trường và bảo đảm an ninh năng lượng quốc gia. </w:t>
      </w:r>
    </w:p>
    <w:p w14:paraId="0339126E" w14:textId="7E7126A8" w:rsidR="002728ED" w:rsidRPr="007B189E" w:rsidRDefault="00743245" w:rsidP="00EC7D1B">
      <w:pPr>
        <w:spacing w:before="60" w:after="60" w:line="340" w:lineRule="exact"/>
        <w:ind w:firstLine="562"/>
        <w:jc w:val="both"/>
        <w:rPr>
          <w:bCs/>
          <w:szCs w:val="26"/>
          <w:lang w:val="vi-VN"/>
        </w:rPr>
      </w:pPr>
      <w:r w:rsidRPr="007B189E">
        <w:rPr>
          <w:bCs/>
          <w:szCs w:val="26"/>
          <w:lang w:val="vi-VN"/>
        </w:rPr>
        <w:t xml:space="preserve">Đánh giá </w:t>
      </w:r>
      <w:r w:rsidR="002728ED" w:rsidRPr="007B189E">
        <w:rPr>
          <w:bCs/>
          <w:szCs w:val="26"/>
          <w:lang w:val="vi-VN"/>
        </w:rPr>
        <w:t xml:space="preserve">chung, </w:t>
      </w:r>
      <w:r w:rsidRPr="007B189E">
        <w:rPr>
          <w:bCs/>
          <w:szCs w:val="26"/>
          <w:lang w:val="vi-VN"/>
        </w:rPr>
        <w:t xml:space="preserve">năm 2025 Tổng </w:t>
      </w:r>
      <w:r w:rsidR="00C348DD" w:rsidRPr="007B189E">
        <w:rPr>
          <w:bCs/>
          <w:szCs w:val="26"/>
          <w:lang w:val="vi-VN"/>
        </w:rPr>
        <w:t>G</w:t>
      </w:r>
      <w:r w:rsidRPr="007B189E">
        <w:rPr>
          <w:bCs/>
          <w:szCs w:val="26"/>
          <w:lang w:val="vi-VN"/>
        </w:rPr>
        <w:t xml:space="preserve">iám đốc và </w:t>
      </w:r>
      <w:r w:rsidR="002728ED" w:rsidRPr="007B189E">
        <w:rPr>
          <w:bCs/>
          <w:szCs w:val="26"/>
          <w:lang w:val="vi-VN"/>
        </w:rPr>
        <w:t>Ban Điều hành đã hoàn thành xuất sắc nhiệm vụ được giao,</w:t>
      </w:r>
      <w:r w:rsidR="004F03A5" w:rsidRPr="007B189E">
        <w:rPr>
          <w:bCs/>
          <w:szCs w:val="26"/>
          <w:lang w:val="vi-VN"/>
        </w:rPr>
        <w:t xml:space="preserve"> thể hiện tinh thần trách nhiệm cao, chủ động, linh hoạt trong xử lý các vấn đề phát sinh</w:t>
      </w:r>
      <w:r w:rsidRPr="007B189E">
        <w:rPr>
          <w:bCs/>
          <w:szCs w:val="26"/>
          <w:lang w:val="vi-VN"/>
        </w:rPr>
        <w:t xml:space="preserve">, </w:t>
      </w:r>
      <w:r w:rsidR="002728ED" w:rsidRPr="007B189E">
        <w:rPr>
          <w:bCs/>
          <w:szCs w:val="26"/>
          <w:lang w:val="vi-VN"/>
        </w:rPr>
        <w:t>triển khai hiệu quả các nghị quyết, quyết định của Đại hội đồng cổ đông</w:t>
      </w:r>
      <w:r w:rsidRPr="007B189E">
        <w:rPr>
          <w:bCs/>
          <w:szCs w:val="26"/>
          <w:lang w:val="vi-VN"/>
        </w:rPr>
        <w:t xml:space="preserve">, </w:t>
      </w:r>
      <w:r w:rsidR="002728ED" w:rsidRPr="007B189E">
        <w:rPr>
          <w:bCs/>
          <w:szCs w:val="26"/>
          <w:lang w:val="vi-VN"/>
        </w:rPr>
        <w:t>Hội đồng quản trị</w:t>
      </w:r>
      <w:r w:rsidR="004F03A5" w:rsidRPr="007B189E">
        <w:rPr>
          <w:bCs/>
          <w:szCs w:val="26"/>
          <w:lang w:val="vi-VN"/>
        </w:rPr>
        <w:t xml:space="preserve">, </w:t>
      </w:r>
      <w:r w:rsidR="002728ED" w:rsidRPr="007B189E">
        <w:rPr>
          <w:bCs/>
          <w:szCs w:val="26"/>
          <w:lang w:val="vi-VN"/>
        </w:rPr>
        <w:t xml:space="preserve">góp phần quan trọng vào việc duy trì hoạt động ổn định của Tập đoàn, giữ vững vai trò doanh nghiệp chủ lực trong lĩnh vực kinh doanh xăng dầu và đóng góp tích cực vào sự phát triển kinh tế </w:t>
      </w:r>
      <w:r w:rsidRPr="007B189E">
        <w:rPr>
          <w:bCs/>
          <w:szCs w:val="26"/>
          <w:lang w:val="vi-VN"/>
        </w:rPr>
        <w:t>-</w:t>
      </w:r>
      <w:r w:rsidR="002728ED" w:rsidRPr="007B189E">
        <w:rPr>
          <w:bCs/>
          <w:szCs w:val="26"/>
          <w:lang w:val="vi-VN"/>
        </w:rPr>
        <w:t xml:space="preserve"> xã hội của đất nước. </w:t>
      </w:r>
    </w:p>
    <w:p w14:paraId="1B658E13" w14:textId="2F3DAFED" w:rsidR="00505981" w:rsidRPr="007B189E" w:rsidRDefault="00505981" w:rsidP="00EC7D1B">
      <w:pPr>
        <w:spacing w:before="60" w:after="60" w:line="340" w:lineRule="exact"/>
        <w:ind w:firstLine="562"/>
        <w:jc w:val="both"/>
        <w:rPr>
          <w:b/>
          <w:i/>
          <w:iCs/>
          <w:szCs w:val="26"/>
          <w:lang w:val="vi-VN"/>
        </w:rPr>
      </w:pPr>
      <w:r w:rsidRPr="007B189E">
        <w:rPr>
          <w:b/>
          <w:szCs w:val="26"/>
          <w:lang w:val="vi-VN"/>
        </w:rPr>
        <w:t>2.</w:t>
      </w:r>
      <w:r w:rsidR="008E25A2" w:rsidRPr="007B189E">
        <w:rPr>
          <w:b/>
          <w:szCs w:val="26"/>
          <w:lang w:val="vi-VN"/>
        </w:rPr>
        <w:t>6</w:t>
      </w:r>
      <w:r w:rsidR="007B692A" w:rsidRPr="007B189E">
        <w:rPr>
          <w:b/>
          <w:szCs w:val="26"/>
          <w:lang w:val="vi-VN"/>
        </w:rPr>
        <w:t>.</w:t>
      </w:r>
      <w:r w:rsidRPr="007B189E">
        <w:rPr>
          <w:b/>
          <w:szCs w:val="26"/>
          <w:lang w:val="vi-VN"/>
        </w:rPr>
        <w:t xml:space="preserve"> Đánh giá của Thành viên HĐQT độc lập về hoạt động của HĐQT</w:t>
      </w:r>
      <w:r w:rsidR="00BA1C71" w:rsidRPr="007B189E">
        <w:rPr>
          <w:b/>
          <w:szCs w:val="26"/>
          <w:lang w:val="vi-VN"/>
        </w:rPr>
        <w:t xml:space="preserve"> </w:t>
      </w:r>
    </w:p>
    <w:p w14:paraId="0ACC50E0" w14:textId="01820609" w:rsidR="00A54021" w:rsidRPr="007B189E" w:rsidRDefault="00A54021" w:rsidP="00EC7D1B">
      <w:pPr>
        <w:spacing w:before="60" w:after="60" w:line="340" w:lineRule="exact"/>
        <w:ind w:firstLine="567"/>
        <w:jc w:val="both"/>
        <w:rPr>
          <w:szCs w:val="26"/>
          <w:lang w:val="vi-VN"/>
        </w:rPr>
      </w:pPr>
      <w:r w:rsidRPr="007B189E">
        <w:rPr>
          <w:szCs w:val="26"/>
          <w:lang w:val="vi-VN"/>
        </w:rPr>
        <w:t>Hoạt động của HĐQT Petrolimex trong năm 2025 đã được tổ chức, triển khai tuân thủ Điều lệ Tập đoàn, Quy chế nội bộ về quản trị, Quy chế hoạt động của HĐQT, các quy định của pháp luật hiện hành và thực hiện đầy đủ các nội dung theo Nghị quyết của ĐHĐCĐ.</w:t>
      </w:r>
    </w:p>
    <w:p w14:paraId="2BFC864D" w14:textId="5A4EA4A0" w:rsidR="008E25A2" w:rsidRPr="007B189E" w:rsidRDefault="00A54021" w:rsidP="00756C86">
      <w:pPr>
        <w:spacing w:before="60" w:after="60" w:line="340" w:lineRule="exact"/>
        <w:ind w:firstLine="562"/>
        <w:jc w:val="both"/>
        <w:rPr>
          <w:bCs/>
          <w:i/>
          <w:iCs/>
          <w:szCs w:val="26"/>
          <w:lang w:val="vi-VN"/>
        </w:rPr>
      </w:pPr>
      <w:r w:rsidRPr="007B189E">
        <w:rPr>
          <w:szCs w:val="26"/>
          <w:lang w:val="vi-VN"/>
        </w:rPr>
        <w:t>(</w:t>
      </w:r>
      <w:r w:rsidRPr="007B189E">
        <w:rPr>
          <w:i/>
          <w:szCs w:val="26"/>
          <w:lang w:val="vi-VN"/>
        </w:rPr>
        <w:t>Báo cáo đánh giá của Thành viên HĐQT độc lập về hoạt động của HĐQT năm 202</w:t>
      </w:r>
      <w:r w:rsidR="00A20DFD" w:rsidRPr="007B189E">
        <w:rPr>
          <w:i/>
          <w:szCs w:val="26"/>
          <w:lang w:val="vi-VN"/>
        </w:rPr>
        <w:t>5</w:t>
      </w:r>
      <w:r w:rsidRPr="007B189E">
        <w:rPr>
          <w:i/>
          <w:szCs w:val="26"/>
          <w:lang w:val="vi-VN"/>
        </w:rPr>
        <w:t xml:space="preserve"> </w:t>
      </w:r>
      <w:r w:rsidR="00A20DFD" w:rsidRPr="007B189E">
        <w:rPr>
          <w:i/>
          <w:szCs w:val="26"/>
          <w:lang w:val="vi-VN"/>
        </w:rPr>
        <w:t xml:space="preserve">theo </w:t>
      </w:r>
      <w:r w:rsidRPr="007B189E">
        <w:rPr>
          <w:i/>
          <w:szCs w:val="26"/>
          <w:lang w:val="vi-VN"/>
        </w:rPr>
        <w:t xml:space="preserve">Phụ lục </w:t>
      </w:r>
      <w:r w:rsidR="00A20DFD" w:rsidRPr="007B189E">
        <w:rPr>
          <w:i/>
          <w:szCs w:val="26"/>
          <w:lang w:val="vi-VN"/>
        </w:rPr>
        <w:t xml:space="preserve">đính </w:t>
      </w:r>
      <w:r w:rsidRPr="007B189E">
        <w:rPr>
          <w:i/>
          <w:szCs w:val="26"/>
          <w:lang w:val="vi-VN"/>
        </w:rPr>
        <w:t>kèm</w:t>
      </w:r>
      <w:r w:rsidRPr="007B189E">
        <w:rPr>
          <w:szCs w:val="26"/>
          <w:lang w:val="vi-VN"/>
        </w:rPr>
        <w:t>).</w:t>
      </w:r>
    </w:p>
    <w:p w14:paraId="68EC86BA" w14:textId="4A910C18" w:rsidR="00EA3FC7" w:rsidRPr="007B189E" w:rsidRDefault="00EA3FC7" w:rsidP="001A7380">
      <w:pPr>
        <w:spacing w:before="60" w:after="0" w:line="276" w:lineRule="auto"/>
        <w:ind w:firstLine="562"/>
        <w:jc w:val="both"/>
        <w:rPr>
          <w:b/>
          <w:szCs w:val="26"/>
          <w:lang w:val="vi-VN"/>
        </w:rPr>
      </w:pPr>
      <w:r w:rsidRPr="007B189E">
        <w:rPr>
          <w:b/>
          <w:szCs w:val="26"/>
          <w:lang w:val="vi-VN"/>
        </w:rPr>
        <w:t>II. KẾ HOẠCH S</w:t>
      </w:r>
      <w:r w:rsidR="00F86DB6" w:rsidRPr="007B189E">
        <w:rPr>
          <w:b/>
          <w:szCs w:val="26"/>
          <w:lang w:val="vi-VN"/>
        </w:rPr>
        <w:t xml:space="preserve">XKD </w:t>
      </w:r>
      <w:r w:rsidR="000835B4" w:rsidRPr="007B189E">
        <w:rPr>
          <w:b/>
          <w:szCs w:val="26"/>
          <w:lang w:val="vi-VN"/>
        </w:rPr>
        <w:t>NĂM 2026</w:t>
      </w:r>
      <w:r w:rsidR="001A7380" w:rsidRPr="007B189E">
        <w:rPr>
          <w:b/>
          <w:szCs w:val="26"/>
          <w:lang w:val="vi-VN"/>
        </w:rPr>
        <w:t xml:space="preserve">, </w:t>
      </w:r>
      <w:r w:rsidR="008D2CDF" w:rsidRPr="007B189E">
        <w:rPr>
          <w:b/>
          <w:szCs w:val="26"/>
          <w:lang w:val="vi-VN"/>
        </w:rPr>
        <w:t>PHƯƠNG HƯỚNG HOẠT ĐỘNG CỦA HĐQT NĂM 2026</w:t>
      </w:r>
    </w:p>
    <w:p w14:paraId="6F4E760D" w14:textId="3989CE8F" w:rsidR="008D2CDF" w:rsidRPr="007B189E" w:rsidRDefault="008D2CDF" w:rsidP="008D2CDF">
      <w:pPr>
        <w:spacing w:before="60" w:after="0" w:line="276" w:lineRule="auto"/>
        <w:ind w:firstLine="562"/>
        <w:jc w:val="both"/>
        <w:rPr>
          <w:b/>
          <w:i/>
          <w:iCs/>
          <w:szCs w:val="26"/>
          <w:lang w:val="vi-VN"/>
        </w:rPr>
      </w:pPr>
      <w:r w:rsidRPr="007B189E">
        <w:rPr>
          <w:b/>
          <w:szCs w:val="26"/>
          <w:lang w:val="vi-VN"/>
        </w:rPr>
        <w:t xml:space="preserve">1. Kế hoạch </w:t>
      </w:r>
      <w:r w:rsidR="00256324" w:rsidRPr="007B189E">
        <w:rPr>
          <w:b/>
          <w:szCs w:val="26"/>
          <w:lang w:val="vi-VN"/>
        </w:rPr>
        <w:t>SXKD</w:t>
      </w:r>
      <w:r w:rsidRPr="007B189E">
        <w:rPr>
          <w:b/>
          <w:szCs w:val="26"/>
          <w:lang w:val="vi-VN"/>
        </w:rPr>
        <w:t xml:space="preserve"> năm 2026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5563"/>
        <w:gridCol w:w="1515"/>
        <w:gridCol w:w="1627"/>
      </w:tblGrid>
      <w:tr w:rsidR="007B189E" w:rsidRPr="007B189E" w14:paraId="68E751CA" w14:textId="77777777" w:rsidTr="001653DA">
        <w:tc>
          <w:tcPr>
            <w:tcW w:w="646" w:type="dxa"/>
            <w:tcBorders>
              <w:top w:val="single" w:sz="4" w:space="0" w:color="auto"/>
              <w:left w:val="single" w:sz="4" w:space="0" w:color="auto"/>
              <w:bottom w:val="single" w:sz="4" w:space="0" w:color="auto"/>
              <w:right w:val="single" w:sz="4" w:space="0" w:color="auto"/>
            </w:tcBorders>
            <w:vAlign w:val="center"/>
          </w:tcPr>
          <w:p w14:paraId="281C3D71" w14:textId="77777777" w:rsidR="00251C7C" w:rsidRPr="00B952C8" w:rsidRDefault="00251C7C" w:rsidP="00DD5CE3">
            <w:pPr>
              <w:spacing w:before="40" w:after="40" w:line="360" w:lineRule="exact"/>
              <w:jc w:val="center"/>
              <w:rPr>
                <w:b/>
                <w:color w:val="0000FF"/>
                <w:szCs w:val="26"/>
                <w:lang w:val="nl-NL"/>
              </w:rPr>
            </w:pPr>
            <w:r w:rsidRPr="00B952C8">
              <w:rPr>
                <w:b/>
                <w:color w:val="0000FF"/>
                <w:szCs w:val="26"/>
                <w:lang w:val="nl-NL"/>
              </w:rPr>
              <w:t>TT</w:t>
            </w:r>
          </w:p>
        </w:tc>
        <w:tc>
          <w:tcPr>
            <w:tcW w:w="5563" w:type="dxa"/>
            <w:tcBorders>
              <w:top w:val="single" w:sz="4" w:space="0" w:color="auto"/>
              <w:left w:val="single" w:sz="4" w:space="0" w:color="auto"/>
              <w:bottom w:val="single" w:sz="4" w:space="0" w:color="auto"/>
              <w:right w:val="single" w:sz="4" w:space="0" w:color="auto"/>
            </w:tcBorders>
            <w:vAlign w:val="center"/>
          </w:tcPr>
          <w:p w14:paraId="5E6DEAC5" w14:textId="77777777" w:rsidR="00251C7C" w:rsidRPr="00B952C8" w:rsidRDefault="00251C7C" w:rsidP="00DD5CE3">
            <w:pPr>
              <w:spacing w:before="40" w:after="40" w:line="360" w:lineRule="exact"/>
              <w:jc w:val="center"/>
              <w:rPr>
                <w:b/>
                <w:color w:val="0000FF"/>
                <w:szCs w:val="26"/>
                <w:lang w:val="nl-NL"/>
              </w:rPr>
            </w:pPr>
            <w:r w:rsidRPr="00B952C8">
              <w:rPr>
                <w:b/>
                <w:color w:val="0000FF"/>
                <w:szCs w:val="26"/>
                <w:lang w:val="nl-NL"/>
              </w:rPr>
              <w:t>Chỉ tiêu</w:t>
            </w:r>
          </w:p>
        </w:tc>
        <w:tc>
          <w:tcPr>
            <w:tcW w:w="1515" w:type="dxa"/>
            <w:tcBorders>
              <w:top w:val="single" w:sz="4" w:space="0" w:color="auto"/>
              <w:left w:val="single" w:sz="4" w:space="0" w:color="auto"/>
              <w:bottom w:val="single" w:sz="4" w:space="0" w:color="auto"/>
              <w:right w:val="single" w:sz="4" w:space="0" w:color="auto"/>
            </w:tcBorders>
            <w:vAlign w:val="center"/>
          </w:tcPr>
          <w:p w14:paraId="39D475C9" w14:textId="16644624" w:rsidR="00251C7C" w:rsidRPr="00B952C8" w:rsidRDefault="00251C7C" w:rsidP="00DD5CE3">
            <w:pPr>
              <w:spacing w:before="40" w:after="40" w:line="360" w:lineRule="exact"/>
              <w:jc w:val="center"/>
              <w:rPr>
                <w:b/>
                <w:color w:val="0000FF"/>
                <w:szCs w:val="26"/>
                <w:lang w:val="nl-NL"/>
              </w:rPr>
            </w:pPr>
            <w:r w:rsidRPr="00B952C8">
              <w:rPr>
                <w:b/>
                <w:color w:val="0000FF"/>
                <w:szCs w:val="26"/>
                <w:lang w:val="nl-NL"/>
              </w:rPr>
              <w:t>K</w:t>
            </w:r>
            <w:r w:rsidR="00F31DE6" w:rsidRPr="00B952C8">
              <w:rPr>
                <w:b/>
                <w:color w:val="0000FF"/>
                <w:szCs w:val="26"/>
                <w:lang w:val="nl-NL"/>
              </w:rPr>
              <w:t>H</w:t>
            </w:r>
            <w:r w:rsidRPr="00B952C8">
              <w:rPr>
                <w:b/>
                <w:color w:val="0000FF"/>
                <w:szCs w:val="26"/>
                <w:lang w:val="nl-NL"/>
              </w:rPr>
              <w:t>2026</w:t>
            </w:r>
          </w:p>
        </w:tc>
        <w:tc>
          <w:tcPr>
            <w:tcW w:w="1627" w:type="dxa"/>
            <w:tcBorders>
              <w:top w:val="single" w:sz="4" w:space="0" w:color="auto"/>
              <w:left w:val="single" w:sz="4" w:space="0" w:color="auto"/>
              <w:bottom w:val="single" w:sz="4" w:space="0" w:color="auto"/>
              <w:right w:val="single" w:sz="4" w:space="0" w:color="auto"/>
            </w:tcBorders>
            <w:vAlign w:val="center"/>
          </w:tcPr>
          <w:p w14:paraId="26B78147" w14:textId="0393D210" w:rsidR="00251C7C" w:rsidRPr="00B952C8" w:rsidRDefault="00F31DE6" w:rsidP="00DD5CE3">
            <w:pPr>
              <w:spacing w:before="40" w:after="40" w:line="360" w:lineRule="exact"/>
              <w:jc w:val="center"/>
              <w:rPr>
                <w:b/>
                <w:color w:val="0000FF"/>
                <w:szCs w:val="26"/>
                <w:lang w:val="nl-NL"/>
              </w:rPr>
            </w:pPr>
            <w:r w:rsidRPr="00B952C8">
              <w:rPr>
                <w:b/>
                <w:color w:val="0000FF"/>
                <w:szCs w:val="26"/>
                <w:lang w:val="nl-NL"/>
              </w:rPr>
              <w:t xml:space="preserve">% </w:t>
            </w:r>
            <w:r w:rsidR="00251C7C" w:rsidRPr="00B952C8">
              <w:rPr>
                <w:b/>
                <w:color w:val="0000FF"/>
                <w:szCs w:val="26"/>
                <w:lang w:val="nl-NL"/>
              </w:rPr>
              <w:t>TH 2025</w:t>
            </w:r>
          </w:p>
        </w:tc>
      </w:tr>
      <w:tr w:rsidR="007B189E" w:rsidRPr="007B189E" w14:paraId="3F18BDC3" w14:textId="77777777" w:rsidTr="001653DA">
        <w:trPr>
          <w:trHeight w:val="200"/>
        </w:trPr>
        <w:tc>
          <w:tcPr>
            <w:tcW w:w="646" w:type="dxa"/>
            <w:tcBorders>
              <w:top w:val="single" w:sz="4" w:space="0" w:color="auto"/>
              <w:left w:val="single" w:sz="4" w:space="0" w:color="auto"/>
              <w:bottom w:val="single" w:sz="4" w:space="0" w:color="auto"/>
              <w:right w:val="single" w:sz="4" w:space="0" w:color="auto"/>
            </w:tcBorders>
            <w:vAlign w:val="center"/>
          </w:tcPr>
          <w:p w14:paraId="0D3999CA" w14:textId="77777777" w:rsidR="00251C7C" w:rsidRPr="00B952C8" w:rsidRDefault="00251C7C" w:rsidP="00DD5CE3">
            <w:pPr>
              <w:spacing w:before="40" w:after="40" w:line="360" w:lineRule="exact"/>
              <w:jc w:val="center"/>
              <w:rPr>
                <w:bCs/>
                <w:color w:val="0000FF"/>
                <w:szCs w:val="26"/>
                <w:lang w:val="nl-NL"/>
              </w:rPr>
            </w:pPr>
            <w:r w:rsidRPr="00B952C8">
              <w:rPr>
                <w:bCs/>
                <w:color w:val="0000FF"/>
                <w:szCs w:val="26"/>
                <w:lang w:val="nl-NL"/>
              </w:rPr>
              <w:t>1</w:t>
            </w:r>
          </w:p>
        </w:tc>
        <w:tc>
          <w:tcPr>
            <w:tcW w:w="5563" w:type="dxa"/>
            <w:tcBorders>
              <w:top w:val="single" w:sz="4" w:space="0" w:color="auto"/>
              <w:left w:val="single" w:sz="4" w:space="0" w:color="auto"/>
              <w:bottom w:val="single" w:sz="4" w:space="0" w:color="auto"/>
              <w:right w:val="single" w:sz="4" w:space="0" w:color="auto"/>
            </w:tcBorders>
            <w:vAlign w:val="center"/>
          </w:tcPr>
          <w:p w14:paraId="75CD80F8" w14:textId="5E9F7510" w:rsidR="00251C7C" w:rsidRPr="00B952C8" w:rsidRDefault="00251C7C" w:rsidP="00DD5CE3">
            <w:pPr>
              <w:spacing w:before="40" w:after="40" w:line="360" w:lineRule="exact"/>
              <w:rPr>
                <w:b/>
                <w:color w:val="0000FF"/>
                <w:spacing w:val="-2"/>
                <w:szCs w:val="26"/>
                <w:lang w:val="nl-NL"/>
              </w:rPr>
            </w:pPr>
            <w:r w:rsidRPr="00B952C8">
              <w:rPr>
                <w:b/>
                <w:color w:val="0000FF"/>
                <w:spacing w:val="-2"/>
                <w:szCs w:val="26"/>
                <w:lang w:val="nl-NL"/>
              </w:rPr>
              <w:t>Sản lượng xăng dầu xuất bán hợp nhất (m3,</w:t>
            </w:r>
            <w:r w:rsidR="00AC2AC9" w:rsidRPr="00B952C8">
              <w:rPr>
                <w:b/>
                <w:color w:val="0000FF"/>
                <w:spacing w:val="-2"/>
                <w:szCs w:val="26"/>
                <w:lang w:val="nl-NL"/>
              </w:rPr>
              <w:t xml:space="preserve"> </w:t>
            </w:r>
            <w:r w:rsidRPr="00B952C8">
              <w:rPr>
                <w:b/>
                <w:color w:val="0000FF"/>
                <w:spacing w:val="-2"/>
                <w:szCs w:val="26"/>
                <w:lang w:val="nl-NL"/>
              </w:rPr>
              <w:t>tấn)</w:t>
            </w:r>
          </w:p>
        </w:tc>
        <w:tc>
          <w:tcPr>
            <w:tcW w:w="1515" w:type="dxa"/>
            <w:tcBorders>
              <w:top w:val="single" w:sz="4" w:space="0" w:color="auto"/>
              <w:left w:val="single" w:sz="4" w:space="0" w:color="auto"/>
              <w:bottom w:val="single" w:sz="4" w:space="0" w:color="auto"/>
              <w:right w:val="single" w:sz="4" w:space="0" w:color="auto"/>
            </w:tcBorders>
            <w:vAlign w:val="center"/>
          </w:tcPr>
          <w:p w14:paraId="67D998D6" w14:textId="77777777" w:rsidR="00251C7C" w:rsidRPr="00B952C8" w:rsidRDefault="00251C7C" w:rsidP="00DD5CE3">
            <w:pPr>
              <w:spacing w:before="40" w:after="40" w:line="360" w:lineRule="exact"/>
              <w:jc w:val="right"/>
              <w:rPr>
                <w:b/>
                <w:color w:val="0000FF"/>
                <w:szCs w:val="26"/>
                <w:lang w:val="nl-NL"/>
              </w:rPr>
            </w:pPr>
            <w:r w:rsidRPr="00B952C8">
              <w:rPr>
                <w:b/>
                <w:color w:val="0000FF"/>
                <w:szCs w:val="26"/>
                <w:lang w:val="nl-NL"/>
              </w:rPr>
              <w:t>19.442.500</w:t>
            </w:r>
          </w:p>
        </w:tc>
        <w:tc>
          <w:tcPr>
            <w:tcW w:w="1627" w:type="dxa"/>
            <w:tcBorders>
              <w:top w:val="single" w:sz="4" w:space="0" w:color="auto"/>
              <w:left w:val="single" w:sz="4" w:space="0" w:color="auto"/>
              <w:bottom w:val="single" w:sz="4" w:space="0" w:color="auto"/>
              <w:right w:val="single" w:sz="4" w:space="0" w:color="auto"/>
            </w:tcBorders>
            <w:vAlign w:val="center"/>
          </w:tcPr>
          <w:p w14:paraId="21C93591" w14:textId="77777777" w:rsidR="00251C7C" w:rsidRPr="00B952C8" w:rsidRDefault="00251C7C" w:rsidP="00DD5CE3">
            <w:pPr>
              <w:spacing w:before="40" w:after="40" w:line="360" w:lineRule="exact"/>
              <w:jc w:val="right"/>
              <w:rPr>
                <w:b/>
                <w:color w:val="0000FF"/>
                <w:szCs w:val="26"/>
                <w:lang w:val="nl-NL"/>
              </w:rPr>
            </w:pPr>
            <w:r w:rsidRPr="00B952C8">
              <w:rPr>
                <w:b/>
                <w:color w:val="0000FF"/>
                <w:szCs w:val="26"/>
                <w:lang w:val="nl-NL"/>
              </w:rPr>
              <w:t>110,0%</w:t>
            </w:r>
          </w:p>
        </w:tc>
      </w:tr>
      <w:tr w:rsidR="007B189E" w:rsidRPr="007B189E" w14:paraId="013DB6DF" w14:textId="77777777" w:rsidTr="001653DA">
        <w:tc>
          <w:tcPr>
            <w:tcW w:w="646" w:type="dxa"/>
            <w:tcBorders>
              <w:top w:val="single" w:sz="4" w:space="0" w:color="auto"/>
              <w:left w:val="single" w:sz="4" w:space="0" w:color="auto"/>
              <w:bottom w:val="single" w:sz="4" w:space="0" w:color="auto"/>
              <w:right w:val="single" w:sz="4" w:space="0" w:color="auto"/>
            </w:tcBorders>
            <w:vAlign w:val="center"/>
          </w:tcPr>
          <w:p w14:paraId="3334C39F" w14:textId="77777777" w:rsidR="00251C7C" w:rsidRPr="00B952C8" w:rsidRDefault="00251C7C" w:rsidP="00DD5CE3">
            <w:pPr>
              <w:spacing w:before="40" w:after="40" w:line="360" w:lineRule="exact"/>
              <w:jc w:val="center"/>
              <w:rPr>
                <w:bCs/>
                <w:color w:val="0000FF"/>
                <w:szCs w:val="26"/>
                <w:lang w:val="nl-NL"/>
              </w:rPr>
            </w:pPr>
          </w:p>
        </w:tc>
        <w:tc>
          <w:tcPr>
            <w:tcW w:w="5563" w:type="dxa"/>
            <w:tcBorders>
              <w:top w:val="single" w:sz="4" w:space="0" w:color="auto"/>
              <w:left w:val="single" w:sz="4" w:space="0" w:color="auto"/>
              <w:bottom w:val="single" w:sz="4" w:space="0" w:color="auto"/>
              <w:right w:val="single" w:sz="4" w:space="0" w:color="auto"/>
            </w:tcBorders>
            <w:vAlign w:val="center"/>
          </w:tcPr>
          <w:p w14:paraId="0A41862E" w14:textId="77777777" w:rsidR="00251C7C" w:rsidRPr="00B952C8" w:rsidRDefault="00251C7C" w:rsidP="00DD5CE3">
            <w:pPr>
              <w:spacing w:before="40" w:after="40" w:line="360" w:lineRule="exact"/>
              <w:rPr>
                <w:bCs/>
                <w:i/>
                <w:iCs/>
                <w:color w:val="0000FF"/>
                <w:szCs w:val="26"/>
              </w:rPr>
            </w:pPr>
            <w:r w:rsidRPr="00B952C8">
              <w:rPr>
                <w:bCs/>
                <w:i/>
                <w:iCs/>
                <w:color w:val="0000FF"/>
                <w:szCs w:val="26"/>
              </w:rPr>
              <w:t>Trong đó, Công ty mẹ</w:t>
            </w:r>
          </w:p>
        </w:tc>
        <w:tc>
          <w:tcPr>
            <w:tcW w:w="1515" w:type="dxa"/>
            <w:tcBorders>
              <w:top w:val="single" w:sz="4" w:space="0" w:color="auto"/>
              <w:left w:val="single" w:sz="4" w:space="0" w:color="auto"/>
              <w:bottom w:val="single" w:sz="4" w:space="0" w:color="auto"/>
              <w:right w:val="single" w:sz="4" w:space="0" w:color="auto"/>
            </w:tcBorders>
            <w:vAlign w:val="center"/>
          </w:tcPr>
          <w:p w14:paraId="0EC536E8" w14:textId="77777777" w:rsidR="00251C7C" w:rsidRPr="00B952C8" w:rsidRDefault="00251C7C" w:rsidP="00DD5CE3">
            <w:pPr>
              <w:spacing w:before="40" w:after="40" w:line="360" w:lineRule="exact"/>
              <w:jc w:val="right"/>
              <w:rPr>
                <w:bCs/>
                <w:color w:val="0000FF"/>
                <w:szCs w:val="26"/>
                <w:lang w:val="nl-NL"/>
              </w:rPr>
            </w:pPr>
            <w:r w:rsidRPr="00B952C8">
              <w:rPr>
                <w:bCs/>
                <w:color w:val="0000FF"/>
                <w:szCs w:val="26"/>
                <w:lang w:val="nl-NL"/>
              </w:rPr>
              <w:t>12.680.000</w:t>
            </w:r>
          </w:p>
        </w:tc>
        <w:tc>
          <w:tcPr>
            <w:tcW w:w="1627" w:type="dxa"/>
            <w:tcBorders>
              <w:top w:val="single" w:sz="4" w:space="0" w:color="auto"/>
              <w:left w:val="single" w:sz="4" w:space="0" w:color="auto"/>
              <w:bottom w:val="single" w:sz="4" w:space="0" w:color="auto"/>
              <w:right w:val="single" w:sz="4" w:space="0" w:color="auto"/>
            </w:tcBorders>
            <w:vAlign w:val="center"/>
          </w:tcPr>
          <w:p w14:paraId="3ED80B7E" w14:textId="77777777" w:rsidR="00251C7C" w:rsidRPr="00B952C8" w:rsidRDefault="00251C7C" w:rsidP="00DD5CE3">
            <w:pPr>
              <w:spacing w:before="40" w:after="40" w:line="360" w:lineRule="exact"/>
              <w:jc w:val="right"/>
              <w:rPr>
                <w:bCs/>
                <w:color w:val="0000FF"/>
                <w:szCs w:val="26"/>
                <w:lang w:val="nl-NL"/>
              </w:rPr>
            </w:pPr>
            <w:r w:rsidRPr="00B952C8">
              <w:rPr>
                <w:bCs/>
                <w:color w:val="0000FF"/>
                <w:szCs w:val="26"/>
                <w:lang w:val="nl-NL"/>
              </w:rPr>
              <w:t>106,4%</w:t>
            </w:r>
          </w:p>
        </w:tc>
      </w:tr>
      <w:tr w:rsidR="007B189E" w:rsidRPr="007B189E" w14:paraId="505F3C4D" w14:textId="77777777" w:rsidTr="001653DA">
        <w:tc>
          <w:tcPr>
            <w:tcW w:w="646" w:type="dxa"/>
            <w:tcBorders>
              <w:top w:val="single" w:sz="4" w:space="0" w:color="auto"/>
              <w:left w:val="single" w:sz="4" w:space="0" w:color="auto"/>
              <w:bottom w:val="single" w:sz="4" w:space="0" w:color="auto"/>
              <w:right w:val="single" w:sz="4" w:space="0" w:color="auto"/>
            </w:tcBorders>
            <w:vAlign w:val="center"/>
          </w:tcPr>
          <w:p w14:paraId="379D312D" w14:textId="77777777" w:rsidR="00251C7C" w:rsidRPr="00B952C8" w:rsidRDefault="00251C7C" w:rsidP="00DD5CE3">
            <w:pPr>
              <w:spacing w:before="40" w:after="40" w:line="360" w:lineRule="exact"/>
              <w:jc w:val="center"/>
              <w:rPr>
                <w:bCs/>
                <w:color w:val="0000FF"/>
                <w:szCs w:val="26"/>
                <w:lang w:val="nl-NL"/>
              </w:rPr>
            </w:pPr>
            <w:r w:rsidRPr="00B952C8">
              <w:rPr>
                <w:bCs/>
                <w:color w:val="0000FF"/>
                <w:szCs w:val="26"/>
                <w:lang w:val="nl-NL"/>
              </w:rPr>
              <w:t>2</w:t>
            </w:r>
          </w:p>
        </w:tc>
        <w:tc>
          <w:tcPr>
            <w:tcW w:w="5563" w:type="dxa"/>
            <w:tcBorders>
              <w:top w:val="single" w:sz="4" w:space="0" w:color="auto"/>
              <w:left w:val="single" w:sz="4" w:space="0" w:color="auto"/>
              <w:bottom w:val="single" w:sz="4" w:space="0" w:color="auto"/>
              <w:right w:val="single" w:sz="4" w:space="0" w:color="auto"/>
            </w:tcBorders>
            <w:vAlign w:val="center"/>
          </w:tcPr>
          <w:p w14:paraId="24744C9D" w14:textId="77777777" w:rsidR="00251C7C" w:rsidRPr="00B952C8" w:rsidRDefault="00251C7C" w:rsidP="00DD5CE3">
            <w:pPr>
              <w:spacing w:before="40" w:after="40" w:line="360" w:lineRule="exact"/>
              <w:rPr>
                <w:b/>
                <w:color w:val="0000FF"/>
                <w:szCs w:val="26"/>
                <w:lang w:val="nl-NL"/>
              </w:rPr>
            </w:pPr>
            <w:r w:rsidRPr="00B952C8">
              <w:rPr>
                <w:b/>
                <w:color w:val="0000FF"/>
                <w:szCs w:val="26"/>
                <w:lang w:val="nl-NL"/>
              </w:rPr>
              <w:t>Doanh thu hợp nhất (tỷ đồng)</w:t>
            </w:r>
          </w:p>
        </w:tc>
        <w:tc>
          <w:tcPr>
            <w:tcW w:w="1515" w:type="dxa"/>
            <w:tcBorders>
              <w:top w:val="single" w:sz="4" w:space="0" w:color="auto"/>
              <w:left w:val="single" w:sz="4" w:space="0" w:color="auto"/>
              <w:bottom w:val="single" w:sz="4" w:space="0" w:color="auto"/>
              <w:right w:val="single" w:sz="4" w:space="0" w:color="auto"/>
            </w:tcBorders>
            <w:vAlign w:val="center"/>
          </w:tcPr>
          <w:p w14:paraId="1CABE9FF" w14:textId="77777777" w:rsidR="00251C7C" w:rsidRPr="00B952C8" w:rsidRDefault="00251C7C" w:rsidP="00DD5CE3">
            <w:pPr>
              <w:spacing w:before="40" w:after="40" w:line="360" w:lineRule="exact"/>
              <w:jc w:val="right"/>
              <w:rPr>
                <w:b/>
                <w:color w:val="0000FF"/>
                <w:szCs w:val="26"/>
                <w:lang w:val="nl-NL"/>
              </w:rPr>
            </w:pPr>
            <w:r w:rsidRPr="00B952C8">
              <w:rPr>
                <w:b/>
                <w:color w:val="0000FF"/>
                <w:szCs w:val="26"/>
                <w:lang w:val="nl-NL"/>
              </w:rPr>
              <w:t>315.000</w:t>
            </w:r>
          </w:p>
        </w:tc>
        <w:tc>
          <w:tcPr>
            <w:tcW w:w="1627" w:type="dxa"/>
            <w:tcBorders>
              <w:top w:val="single" w:sz="4" w:space="0" w:color="auto"/>
              <w:left w:val="single" w:sz="4" w:space="0" w:color="auto"/>
              <w:bottom w:val="single" w:sz="4" w:space="0" w:color="auto"/>
              <w:right w:val="single" w:sz="4" w:space="0" w:color="auto"/>
            </w:tcBorders>
            <w:vAlign w:val="center"/>
          </w:tcPr>
          <w:p w14:paraId="0A3C8FA4" w14:textId="77777777" w:rsidR="00251C7C" w:rsidRPr="00B952C8" w:rsidRDefault="00251C7C" w:rsidP="00DD5CE3">
            <w:pPr>
              <w:spacing w:before="40" w:after="40" w:line="360" w:lineRule="exact"/>
              <w:jc w:val="right"/>
              <w:rPr>
                <w:b/>
                <w:color w:val="0000FF"/>
                <w:szCs w:val="26"/>
                <w:lang w:val="nl-NL"/>
              </w:rPr>
            </w:pPr>
            <w:r w:rsidRPr="00B952C8">
              <w:rPr>
                <w:b/>
                <w:color w:val="0000FF"/>
                <w:szCs w:val="26"/>
                <w:lang w:val="nl-NL"/>
              </w:rPr>
              <w:t>102%</w:t>
            </w:r>
          </w:p>
        </w:tc>
      </w:tr>
      <w:tr w:rsidR="007B189E" w:rsidRPr="007B189E" w14:paraId="21ED3D0D" w14:textId="77777777" w:rsidTr="001653DA">
        <w:tc>
          <w:tcPr>
            <w:tcW w:w="646" w:type="dxa"/>
            <w:tcBorders>
              <w:top w:val="single" w:sz="4" w:space="0" w:color="auto"/>
              <w:left w:val="single" w:sz="4" w:space="0" w:color="auto"/>
              <w:bottom w:val="single" w:sz="4" w:space="0" w:color="auto"/>
              <w:right w:val="single" w:sz="4" w:space="0" w:color="auto"/>
            </w:tcBorders>
            <w:vAlign w:val="center"/>
          </w:tcPr>
          <w:p w14:paraId="709938E0" w14:textId="77777777" w:rsidR="00251C7C" w:rsidRPr="00B952C8" w:rsidRDefault="00251C7C" w:rsidP="00DD5CE3">
            <w:pPr>
              <w:spacing w:before="40" w:after="40" w:line="360" w:lineRule="exact"/>
              <w:jc w:val="center"/>
              <w:rPr>
                <w:bCs/>
                <w:color w:val="0000FF"/>
                <w:szCs w:val="26"/>
                <w:lang w:val="nl-NL"/>
              </w:rPr>
            </w:pPr>
          </w:p>
        </w:tc>
        <w:tc>
          <w:tcPr>
            <w:tcW w:w="5563" w:type="dxa"/>
            <w:tcBorders>
              <w:top w:val="single" w:sz="4" w:space="0" w:color="auto"/>
              <w:left w:val="single" w:sz="4" w:space="0" w:color="auto"/>
              <w:bottom w:val="single" w:sz="4" w:space="0" w:color="auto"/>
              <w:right w:val="single" w:sz="4" w:space="0" w:color="auto"/>
            </w:tcBorders>
            <w:vAlign w:val="center"/>
          </w:tcPr>
          <w:p w14:paraId="4127E096" w14:textId="77777777" w:rsidR="00251C7C" w:rsidRPr="00B952C8" w:rsidRDefault="00251C7C" w:rsidP="00DD5CE3">
            <w:pPr>
              <w:spacing w:before="40" w:after="40" w:line="360" w:lineRule="exact"/>
              <w:rPr>
                <w:bCs/>
                <w:i/>
                <w:iCs/>
                <w:color w:val="0000FF"/>
                <w:szCs w:val="26"/>
              </w:rPr>
            </w:pPr>
            <w:r w:rsidRPr="00B952C8">
              <w:rPr>
                <w:bCs/>
                <w:i/>
                <w:iCs/>
                <w:color w:val="0000FF"/>
                <w:szCs w:val="26"/>
              </w:rPr>
              <w:t>Trong đó, Công ty mẹ</w:t>
            </w:r>
          </w:p>
        </w:tc>
        <w:tc>
          <w:tcPr>
            <w:tcW w:w="1515" w:type="dxa"/>
            <w:tcBorders>
              <w:top w:val="single" w:sz="4" w:space="0" w:color="auto"/>
              <w:left w:val="single" w:sz="4" w:space="0" w:color="auto"/>
              <w:bottom w:val="single" w:sz="4" w:space="0" w:color="auto"/>
              <w:right w:val="single" w:sz="4" w:space="0" w:color="auto"/>
            </w:tcBorders>
            <w:vAlign w:val="center"/>
          </w:tcPr>
          <w:p w14:paraId="31DFB408" w14:textId="77777777" w:rsidR="00251C7C" w:rsidRPr="00B952C8" w:rsidRDefault="00251C7C" w:rsidP="00DD5CE3">
            <w:pPr>
              <w:spacing w:before="40" w:after="40" w:line="360" w:lineRule="exact"/>
              <w:jc w:val="right"/>
              <w:rPr>
                <w:bCs/>
                <w:color w:val="0000FF"/>
                <w:szCs w:val="26"/>
                <w:lang w:val="nl-NL"/>
              </w:rPr>
            </w:pPr>
            <w:r w:rsidRPr="00B952C8">
              <w:rPr>
                <w:bCs/>
                <w:color w:val="0000FF"/>
                <w:szCs w:val="26"/>
                <w:lang w:val="nl-NL"/>
              </w:rPr>
              <w:t>186.800</w:t>
            </w:r>
          </w:p>
        </w:tc>
        <w:tc>
          <w:tcPr>
            <w:tcW w:w="1627" w:type="dxa"/>
            <w:tcBorders>
              <w:top w:val="single" w:sz="4" w:space="0" w:color="auto"/>
              <w:left w:val="single" w:sz="4" w:space="0" w:color="auto"/>
              <w:bottom w:val="single" w:sz="4" w:space="0" w:color="auto"/>
              <w:right w:val="single" w:sz="4" w:space="0" w:color="auto"/>
            </w:tcBorders>
            <w:vAlign w:val="center"/>
          </w:tcPr>
          <w:p w14:paraId="6E0A7311" w14:textId="77777777" w:rsidR="00251C7C" w:rsidRPr="00B952C8" w:rsidRDefault="00251C7C" w:rsidP="00DD5CE3">
            <w:pPr>
              <w:spacing w:before="40" w:after="40" w:line="360" w:lineRule="exact"/>
              <w:jc w:val="right"/>
              <w:rPr>
                <w:bCs/>
                <w:color w:val="0000FF"/>
                <w:szCs w:val="26"/>
                <w:lang w:val="nl-NL"/>
              </w:rPr>
            </w:pPr>
            <w:r w:rsidRPr="00B952C8">
              <w:rPr>
                <w:bCs/>
                <w:color w:val="0000FF"/>
                <w:szCs w:val="26"/>
                <w:lang w:val="nl-NL"/>
              </w:rPr>
              <w:t>102%</w:t>
            </w:r>
          </w:p>
        </w:tc>
      </w:tr>
      <w:tr w:rsidR="007B189E" w:rsidRPr="007B189E" w14:paraId="1BD536EE" w14:textId="77777777" w:rsidTr="001653DA">
        <w:tc>
          <w:tcPr>
            <w:tcW w:w="646" w:type="dxa"/>
            <w:tcBorders>
              <w:top w:val="single" w:sz="4" w:space="0" w:color="auto"/>
              <w:left w:val="single" w:sz="4" w:space="0" w:color="auto"/>
              <w:bottom w:val="single" w:sz="4" w:space="0" w:color="auto"/>
              <w:right w:val="single" w:sz="4" w:space="0" w:color="auto"/>
            </w:tcBorders>
            <w:vAlign w:val="center"/>
          </w:tcPr>
          <w:p w14:paraId="254BE887" w14:textId="77777777" w:rsidR="00251C7C" w:rsidRPr="00B952C8" w:rsidRDefault="00251C7C" w:rsidP="00DD5CE3">
            <w:pPr>
              <w:spacing w:before="40" w:after="40" w:line="360" w:lineRule="exact"/>
              <w:jc w:val="center"/>
              <w:rPr>
                <w:bCs/>
                <w:color w:val="0000FF"/>
                <w:szCs w:val="26"/>
                <w:lang w:val="nl-NL"/>
              </w:rPr>
            </w:pPr>
            <w:r w:rsidRPr="00B952C8">
              <w:rPr>
                <w:bCs/>
                <w:color w:val="0000FF"/>
                <w:szCs w:val="26"/>
                <w:lang w:val="nl-NL"/>
              </w:rPr>
              <w:t>3</w:t>
            </w:r>
          </w:p>
        </w:tc>
        <w:tc>
          <w:tcPr>
            <w:tcW w:w="5563" w:type="dxa"/>
            <w:tcBorders>
              <w:top w:val="single" w:sz="4" w:space="0" w:color="auto"/>
              <w:left w:val="single" w:sz="4" w:space="0" w:color="auto"/>
              <w:bottom w:val="single" w:sz="4" w:space="0" w:color="auto"/>
              <w:right w:val="single" w:sz="4" w:space="0" w:color="auto"/>
            </w:tcBorders>
            <w:vAlign w:val="center"/>
          </w:tcPr>
          <w:p w14:paraId="6C243D7C" w14:textId="77777777" w:rsidR="00251C7C" w:rsidRPr="00B952C8" w:rsidRDefault="00251C7C" w:rsidP="00DD5CE3">
            <w:pPr>
              <w:spacing w:before="40" w:after="40" w:line="360" w:lineRule="exact"/>
              <w:rPr>
                <w:b/>
                <w:color w:val="0000FF"/>
                <w:szCs w:val="26"/>
                <w:lang w:val="nl-NL"/>
              </w:rPr>
            </w:pPr>
            <w:r w:rsidRPr="00B952C8">
              <w:rPr>
                <w:b/>
                <w:color w:val="0000FF"/>
                <w:szCs w:val="26"/>
                <w:lang w:val="nl-NL"/>
              </w:rPr>
              <w:t>Lợi nhuận hợp nhất trước thuế (tỷ đồng)</w:t>
            </w:r>
          </w:p>
        </w:tc>
        <w:tc>
          <w:tcPr>
            <w:tcW w:w="1515" w:type="dxa"/>
            <w:tcBorders>
              <w:top w:val="single" w:sz="4" w:space="0" w:color="auto"/>
              <w:left w:val="single" w:sz="4" w:space="0" w:color="auto"/>
              <w:bottom w:val="single" w:sz="4" w:space="0" w:color="auto"/>
              <w:right w:val="single" w:sz="4" w:space="0" w:color="auto"/>
            </w:tcBorders>
            <w:vAlign w:val="center"/>
          </w:tcPr>
          <w:p w14:paraId="4557B1F6" w14:textId="77777777" w:rsidR="00251C7C" w:rsidRPr="00B952C8" w:rsidRDefault="00251C7C" w:rsidP="00DD5CE3">
            <w:pPr>
              <w:spacing w:before="40" w:after="40" w:line="360" w:lineRule="exact"/>
              <w:jc w:val="right"/>
              <w:rPr>
                <w:b/>
                <w:color w:val="0000FF"/>
                <w:szCs w:val="26"/>
                <w:lang w:val="nl-NL"/>
              </w:rPr>
            </w:pPr>
            <w:r w:rsidRPr="00B952C8">
              <w:rPr>
                <w:b/>
                <w:color w:val="0000FF"/>
                <w:szCs w:val="26"/>
                <w:lang w:val="nl-NL"/>
              </w:rPr>
              <w:t>3.380</w:t>
            </w:r>
          </w:p>
        </w:tc>
        <w:tc>
          <w:tcPr>
            <w:tcW w:w="1627" w:type="dxa"/>
            <w:tcBorders>
              <w:top w:val="single" w:sz="4" w:space="0" w:color="auto"/>
              <w:left w:val="single" w:sz="4" w:space="0" w:color="auto"/>
              <w:bottom w:val="single" w:sz="4" w:space="0" w:color="auto"/>
              <w:right w:val="single" w:sz="4" w:space="0" w:color="auto"/>
            </w:tcBorders>
            <w:vAlign w:val="center"/>
          </w:tcPr>
          <w:p w14:paraId="50530435" w14:textId="77777777" w:rsidR="00251C7C" w:rsidRPr="00B952C8" w:rsidRDefault="00251C7C" w:rsidP="00DD5CE3">
            <w:pPr>
              <w:spacing w:before="40" w:after="40" w:line="360" w:lineRule="exact"/>
              <w:jc w:val="right"/>
              <w:rPr>
                <w:b/>
                <w:color w:val="0000FF"/>
                <w:szCs w:val="26"/>
                <w:lang w:val="nl-NL"/>
              </w:rPr>
            </w:pPr>
            <w:r w:rsidRPr="00B952C8">
              <w:rPr>
                <w:b/>
                <w:color w:val="0000FF"/>
                <w:szCs w:val="26"/>
                <w:lang w:val="nl-NL"/>
              </w:rPr>
              <w:t>93%</w:t>
            </w:r>
          </w:p>
        </w:tc>
      </w:tr>
      <w:tr w:rsidR="007B189E" w:rsidRPr="007B189E" w14:paraId="62E2816B" w14:textId="77777777" w:rsidTr="001653DA">
        <w:tc>
          <w:tcPr>
            <w:tcW w:w="646" w:type="dxa"/>
            <w:tcBorders>
              <w:top w:val="single" w:sz="4" w:space="0" w:color="auto"/>
              <w:left w:val="single" w:sz="4" w:space="0" w:color="auto"/>
              <w:bottom w:val="single" w:sz="4" w:space="0" w:color="auto"/>
              <w:right w:val="single" w:sz="4" w:space="0" w:color="auto"/>
            </w:tcBorders>
            <w:vAlign w:val="center"/>
          </w:tcPr>
          <w:p w14:paraId="5DA8FB7C" w14:textId="77777777" w:rsidR="00251C7C" w:rsidRPr="00B952C8" w:rsidRDefault="00251C7C" w:rsidP="00DD5CE3">
            <w:pPr>
              <w:spacing w:before="40" w:after="40" w:line="360" w:lineRule="exact"/>
              <w:jc w:val="center"/>
              <w:rPr>
                <w:bCs/>
                <w:color w:val="0000FF"/>
                <w:szCs w:val="26"/>
                <w:lang w:val="nl-NL"/>
              </w:rPr>
            </w:pPr>
          </w:p>
        </w:tc>
        <w:tc>
          <w:tcPr>
            <w:tcW w:w="5563" w:type="dxa"/>
            <w:tcBorders>
              <w:top w:val="single" w:sz="4" w:space="0" w:color="auto"/>
              <w:left w:val="single" w:sz="4" w:space="0" w:color="auto"/>
              <w:bottom w:val="single" w:sz="4" w:space="0" w:color="auto"/>
              <w:right w:val="single" w:sz="4" w:space="0" w:color="auto"/>
            </w:tcBorders>
            <w:vAlign w:val="center"/>
          </w:tcPr>
          <w:p w14:paraId="36C4B8A3" w14:textId="77777777" w:rsidR="00251C7C" w:rsidRPr="00B952C8" w:rsidRDefault="00251C7C" w:rsidP="00DD5CE3">
            <w:pPr>
              <w:spacing w:before="40" w:after="40" w:line="360" w:lineRule="exact"/>
              <w:rPr>
                <w:bCs/>
                <w:i/>
                <w:iCs/>
                <w:color w:val="0000FF"/>
                <w:szCs w:val="26"/>
              </w:rPr>
            </w:pPr>
            <w:r w:rsidRPr="00B952C8">
              <w:rPr>
                <w:bCs/>
                <w:i/>
                <w:iCs/>
                <w:color w:val="0000FF"/>
                <w:szCs w:val="26"/>
              </w:rPr>
              <w:t>Trong đó, Công ty mẹ</w:t>
            </w:r>
          </w:p>
        </w:tc>
        <w:tc>
          <w:tcPr>
            <w:tcW w:w="1515" w:type="dxa"/>
            <w:tcBorders>
              <w:top w:val="single" w:sz="4" w:space="0" w:color="auto"/>
              <w:left w:val="single" w:sz="4" w:space="0" w:color="auto"/>
              <w:bottom w:val="single" w:sz="4" w:space="0" w:color="auto"/>
              <w:right w:val="single" w:sz="4" w:space="0" w:color="auto"/>
            </w:tcBorders>
            <w:vAlign w:val="center"/>
          </w:tcPr>
          <w:p w14:paraId="33EC10F8" w14:textId="77777777" w:rsidR="00251C7C" w:rsidRPr="00B952C8" w:rsidRDefault="00251C7C" w:rsidP="00DD5CE3">
            <w:pPr>
              <w:spacing w:before="40" w:after="40" w:line="360" w:lineRule="exact"/>
              <w:jc w:val="right"/>
              <w:rPr>
                <w:bCs/>
                <w:color w:val="0000FF"/>
                <w:szCs w:val="26"/>
                <w:lang w:val="nl-NL"/>
              </w:rPr>
            </w:pPr>
            <w:r w:rsidRPr="00B952C8">
              <w:rPr>
                <w:bCs/>
                <w:color w:val="0000FF"/>
                <w:szCs w:val="26"/>
                <w:lang w:val="nl-NL"/>
              </w:rPr>
              <w:t>2.020</w:t>
            </w:r>
          </w:p>
        </w:tc>
        <w:tc>
          <w:tcPr>
            <w:tcW w:w="1627" w:type="dxa"/>
            <w:tcBorders>
              <w:top w:val="single" w:sz="4" w:space="0" w:color="auto"/>
              <w:left w:val="single" w:sz="4" w:space="0" w:color="auto"/>
              <w:bottom w:val="single" w:sz="4" w:space="0" w:color="auto"/>
              <w:right w:val="single" w:sz="4" w:space="0" w:color="auto"/>
            </w:tcBorders>
            <w:vAlign w:val="center"/>
          </w:tcPr>
          <w:p w14:paraId="0253C613" w14:textId="2D2FB562" w:rsidR="00251C7C" w:rsidRPr="00B952C8" w:rsidRDefault="00251C7C" w:rsidP="00DD5CE3">
            <w:pPr>
              <w:spacing w:before="40" w:after="40" w:line="360" w:lineRule="exact"/>
              <w:jc w:val="right"/>
              <w:rPr>
                <w:bCs/>
                <w:color w:val="0000FF"/>
                <w:szCs w:val="26"/>
                <w:lang w:val="nl-NL"/>
              </w:rPr>
            </w:pPr>
            <w:r w:rsidRPr="00B952C8">
              <w:rPr>
                <w:bCs/>
                <w:color w:val="0000FF"/>
                <w:szCs w:val="26"/>
                <w:lang w:val="nl-NL"/>
              </w:rPr>
              <w:t>9</w:t>
            </w:r>
            <w:r w:rsidR="009B2F12" w:rsidRPr="00B952C8">
              <w:rPr>
                <w:bCs/>
                <w:color w:val="0000FF"/>
                <w:szCs w:val="26"/>
                <w:lang w:val="nl-NL"/>
              </w:rPr>
              <w:t>5</w:t>
            </w:r>
            <w:r w:rsidRPr="00B952C8">
              <w:rPr>
                <w:bCs/>
                <w:color w:val="0000FF"/>
                <w:szCs w:val="26"/>
                <w:lang w:val="nl-NL"/>
              </w:rPr>
              <w:t>%</w:t>
            </w:r>
          </w:p>
        </w:tc>
      </w:tr>
      <w:tr w:rsidR="007B189E" w:rsidRPr="007B189E" w14:paraId="13E53C43" w14:textId="77777777" w:rsidTr="001653DA">
        <w:tc>
          <w:tcPr>
            <w:tcW w:w="646" w:type="dxa"/>
            <w:tcBorders>
              <w:top w:val="single" w:sz="4" w:space="0" w:color="auto"/>
              <w:left w:val="single" w:sz="4" w:space="0" w:color="auto"/>
              <w:bottom w:val="single" w:sz="4" w:space="0" w:color="auto"/>
              <w:right w:val="single" w:sz="4" w:space="0" w:color="auto"/>
            </w:tcBorders>
            <w:vAlign w:val="center"/>
          </w:tcPr>
          <w:p w14:paraId="268BE0C2" w14:textId="77777777" w:rsidR="00251C7C" w:rsidRPr="00B952C8" w:rsidRDefault="00251C7C" w:rsidP="00DD5CE3">
            <w:pPr>
              <w:spacing w:before="40" w:after="40" w:line="360" w:lineRule="exact"/>
              <w:jc w:val="center"/>
              <w:rPr>
                <w:bCs/>
                <w:color w:val="0000FF"/>
                <w:szCs w:val="26"/>
                <w:lang w:val="nl-NL"/>
              </w:rPr>
            </w:pPr>
            <w:r w:rsidRPr="00B952C8">
              <w:rPr>
                <w:bCs/>
                <w:color w:val="0000FF"/>
                <w:szCs w:val="26"/>
                <w:lang w:val="nl-NL"/>
              </w:rPr>
              <w:t>4</w:t>
            </w:r>
          </w:p>
        </w:tc>
        <w:tc>
          <w:tcPr>
            <w:tcW w:w="5563" w:type="dxa"/>
            <w:tcBorders>
              <w:top w:val="single" w:sz="4" w:space="0" w:color="auto"/>
              <w:left w:val="single" w:sz="4" w:space="0" w:color="auto"/>
              <w:bottom w:val="single" w:sz="4" w:space="0" w:color="auto"/>
              <w:right w:val="single" w:sz="4" w:space="0" w:color="auto"/>
            </w:tcBorders>
            <w:vAlign w:val="center"/>
          </w:tcPr>
          <w:p w14:paraId="5F3A38C2" w14:textId="22025953" w:rsidR="00251C7C" w:rsidRPr="00B952C8" w:rsidRDefault="00251C7C" w:rsidP="00DD5CE3">
            <w:pPr>
              <w:spacing w:before="40" w:after="40" w:line="360" w:lineRule="exact"/>
              <w:rPr>
                <w:b/>
                <w:color w:val="0000FF"/>
                <w:szCs w:val="26"/>
                <w:lang w:val="nl-NL"/>
              </w:rPr>
            </w:pPr>
            <w:r w:rsidRPr="00B952C8">
              <w:rPr>
                <w:b/>
                <w:color w:val="0000FF"/>
                <w:szCs w:val="26"/>
                <w:lang w:val="nl-NL"/>
              </w:rPr>
              <w:t>Tỷ lệ chia cổ tức dự kiến</w:t>
            </w:r>
            <w:r w:rsidR="00B72C6F" w:rsidRPr="00B952C8">
              <w:rPr>
                <w:b/>
                <w:color w:val="0000FF"/>
                <w:szCs w:val="26"/>
                <w:lang w:val="nl-NL"/>
              </w:rPr>
              <w:t xml:space="preserve"> (%)</w:t>
            </w:r>
          </w:p>
        </w:tc>
        <w:tc>
          <w:tcPr>
            <w:tcW w:w="1515" w:type="dxa"/>
            <w:tcBorders>
              <w:top w:val="single" w:sz="4" w:space="0" w:color="auto"/>
              <w:left w:val="single" w:sz="4" w:space="0" w:color="auto"/>
              <w:bottom w:val="single" w:sz="4" w:space="0" w:color="auto"/>
              <w:right w:val="single" w:sz="4" w:space="0" w:color="auto"/>
            </w:tcBorders>
            <w:vAlign w:val="center"/>
          </w:tcPr>
          <w:p w14:paraId="57A052DA" w14:textId="77777777" w:rsidR="00251C7C" w:rsidRPr="00B952C8" w:rsidRDefault="00251C7C" w:rsidP="00DD5CE3">
            <w:pPr>
              <w:spacing w:before="40" w:after="40" w:line="360" w:lineRule="exact"/>
              <w:jc w:val="right"/>
              <w:rPr>
                <w:b/>
                <w:color w:val="0000FF"/>
                <w:szCs w:val="26"/>
                <w:lang w:val="nl-NL"/>
              </w:rPr>
            </w:pPr>
            <w:r w:rsidRPr="00B952C8">
              <w:rPr>
                <w:b/>
                <w:color w:val="0000FF"/>
                <w:szCs w:val="26"/>
                <w:lang w:val="nl-NL"/>
              </w:rPr>
              <w:t>10</w:t>
            </w:r>
          </w:p>
        </w:tc>
        <w:tc>
          <w:tcPr>
            <w:tcW w:w="1627" w:type="dxa"/>
            <w:tcBorders>
              <w:top w:val="single" w:sz="4" w:space="0" w:color="auto"/>
              <w:left w:val="single" w:sz="4" w:space="0" w:color="auto"/>
              <w:bottom w:val="single" w:sz="4" w:space="0" w:color="auto"/>
              <w:right w:val="single" w:sz="4" w:space="0" w:color="auto"/>
            </w:tcBorders>
            <w:vAlign w:val="center"/>
          </w:tcPr>
          <w:p w14:paraId="3C975002" w14:textId="529CABA1" w:rsidR="00251C7C" w:rsidRPr="00B952C8" w:rsidRDefault="00C71D93" w:rsidP="00DD5CE3">
            <w:pPr>
              <w:spacing w:before="40" w:after="40" w:line="360" w:lineRule="exact"/>
              <w:jc w:val="right"/>
              <w:rPr>
                <w:b/>
                <w:color w:val="0000FF"/>
                <w:szCs w:val="26"/>
                <w:lang w:val="nl-NL"/>
              </w:rPr>
            </w:pPr>
            <w:r w:rsidRPr="00B952C8">
              <w:rPr>
                <w:b/>
                <w:color w:val="0000FF"/>
                <w:szCs w:val="26"/>
                <w:lang w:val="nl-NL"/>
              </w:rPr>
              <w:t>83</w:t>
            </w:r>
            <w:r w:rsidR="00251C7C" w:rsidRPr="00B952C8">
              <w:rPr>
                <w:b/>
                <w:color w:val="0000FF"/>
                <w:szCs w:val="26"/>
                <w:lang w:val="nl-NL"/>
              </w:rPr>
              <w:t>%</w:t>
            </w:r>
            <w:r w:rsidRPr="00B952C8">
              <w:rPr>
                <w:b/>
                <w:color w:val="0000FF"/>
                <w:szCs w:val="26"/>
                <w:lang w:val="nl-NL"/>
              </w:rPr>
              <w:t xml:space="preserve"> </w:t>
            </w:r>
          </w:p>
        </w:tc>
      </w:tr>
    </w:tbl>
    <w:p w14:paraId="77F37D34" w14:textId="78F7DE70" w:rsidR="00850C57" w:rsidRPr="007B189E" w:rsidRDefault="008D2CDF" w:rsidP="005143E3">
      <w:pPr>
        <w:spacing w:before="60" w:after="60" w:line="360" w:lineRule="exact"/>
        <w:ind w:firstLine="561"/>
        <w:jc w:val="both"/>
        <w:rPr>
          <w:b/>
          <w:szCs w:val="26"/>
        </w:rPr>
      </w:pPr>
      <w:r w:rsidRPr="007B189E">
        <w:rPr>
          <w:b/>
          <w:szCs w:val="26"/>
        </w:rPr>
        <w:t>2. Phương hướng hoạt động của HĐQT năm 2026</w:t>
      </w:r>
    </w:p>
    <w:p w14:paraId="64FDCEC4" w14:textId="466E5FBC" w:rsidR="00C156AA" w:rsidRPr="007B189E" w:rsidRDefault="00B07742" w:rsidP="005143E3">
      <w:pPr>
        <w:spacing w:before="60" w:after="60" w:line="360" w:lineRule="exact"/>
        <w:ind w:firstLine="561"/>
        <w:jc w:val="both"/>
        <w:rPr>
          <w:szCs w:val="26"/>
        </w:rPr>
      </w:pPr>
      <w:r w:rsidRPr="007B189E">
        <w:rPr>
          <w:szCs w:val="26"/>
        </w:rPr>
        <w:t xml:space="preserve">Năm 2026, trong bối cảnh tình hình thế giới, khu vực và trong nước tiếp tục biến động nhanh, phức tạp, Hội đồng quản trị Petrolimex xác định trọng tâm là tiếp tục đổi mới tư duy phát triển và phương thức quản trị; phát huy vai trò nòng cốt trong bảo đảm </w:t>
      </w:r>
      <w:r w:rsidRPr="007B189E">
        <w:rPr>
          <w:szCs w:val="26"/>
        </w:rPr>
        <w:lastRenderedPageBreak/>
        <w:t xml:space="preserve">an ninh năng lượng quốc gia; dẫn dắt Tập đoàn chuyển đổi mạnh mẽ theo ba phương thức: chuyển đổi số, chuyển đổi xanh và chuyển đổi tổ chức </w:t>
      </w:r>
      <w:r w:rsidR="00EA3C61" w:rsidRPr="007B189E">
        <w:rPr>
          <w:szCs w:val="26"/>
        </w:rPr>
        <w:t>-</w:t>
      </w:r>
      <w:r w:rsidRPr="007B189E">
        <w:rPr>
          <w:szCs w:val="26"/>
        </w:rPr>
        <w:t xml:space="preserve"> văn hóa; đồng thời nâng cao chất lượng quản trị, hiệu quả sử dụng vốn, năng lực cạnh tranh và phát triển bền vững. Trên cơ sở đó, Hội đồng quản trị </w:t>
      </w:r>
      <w:r w:rsidR="00DA1274" w:rsidRPr="007B189E">
        <w:rPr>
          <w:szCs w:val="26"/>
        </w:rPr>
        <w:t xml:space="preserve">Petrolimex xác định </w:t>
      </w:r>
      <w:r w:rsidRPr="007B189E">
        <w:rPr>
          <w:szCs w:val="26"/>
        </w:rPr>
        <w:t>tập trung chỉ đạo thực hiện một số định hướng lớn sau</w:t>
      </w:r>
      <w:r w:rsidR="00DA1274" w:rsidRPr="007B189E">
        <w:rPr>
          <w:szCs w:val="26"/>
        </w:rPr>
        <w:t>:</w:t>
      </w:r>
    </w:p>
    <w:p w14:paraId="77F22EE2" w14:textId="18985C3D" w:rsidR="00C156AA" w:rsidRPr="007B189E" w:rsidRDefault="00C156AA" w:rsidP="00756C86">
      <w:pPr>
        <w:spacing w:before="60" w:after="60" w:line="340" w:lineRule="exact"/>
        <w:ind w:firstLine="562"/>
        <w:jc w:val="both"/>
        <w:rPr>
          <w:szCs w:val="26"/>
        </w:rPr>
      </w:pPr>
      <w:r w:rsidRPr="007B189E">
        <w:rPr>
          <w:b/>
          <w:bCs/>
          <w:szCs w:val="26"/>
        </w:rPr>
        <w:t>Trước hết,</w:t>
      </w:r>
      <w:r w:rsidRPr="007B189E">
        <w:rPr>
          <w:szCs w:val="26"/>
        </w:rPr>
        <w:t xml:space="preserve"> </w:t>
      </w:r>
      <w:r w:rsidR="005C68F2" w:rsidRPr="007B189E">
        <w:rPr>
          <w:szCs w:val="26"/>
        </w:rPr>
        <w:t>tiếp tục khẳng định và phát huy vai trò của Petrolimex là doanh nghiệp nhà nước giữ vị trí quan trọng trong bảo đảm nguồn cung xăng dầu cho nền kinh tế. Hội đồng quản trị tập trung chỉ đạo nâng cao năng lực tự chủ, khả năng ứng phó và sức chống chịu của hệ thống trước biến động thị trường năng lượng và rủi ro chuỗi cung ứng; đồng thời hoàn thiện định hướng về nguồn hàng, tồn trữ, logistics và đầu tư hạ tầng, bảo đảm Petrolimex giữ vững vai trò dẫn dắt thị trường và hoàn thành tốt nhiệm vụ chính trị, sản xuất kinh doanh được giao.</w:t>
      </w:r>
    </w:p>
    <w:p w14:paraId="20FD93B5" w14:textId="0D847EA0" w:rsidR="00C156AA" w:rsidRPr="007B189E" w:rsidRDefault="00C156AA" w:rsidP="00756C86">
      <w:pPr>
        <w:spacing w:before="60" w:after="60" w:line="340" w:lineRule="exact"/>
        <w:ind w:firstLine="562"/>
        <w:jc w:val="both"/>
        <w:rPr>
          <w:szCs w:val="26"/>
        </w:rPr>
      </w:pPr>
      <w:r w:rsidRPr="007B189E">
        <w:rPr>
          <w:b/>
          <w:bCs/>
          <w:szCs w:val="26"/>
        </w:rPr>
        <w:t>Hai là,</w:t>
      </w:r>
      <w:r w:rsidRPr="007B189E">
        <w:rPr>
          <w:szCs w:val="26"/>
        </w:rPr>
        <w:t xml:space="preserve"> </w:t>
      </w:r>
      <w:r w:rsidR="00BB4AC5" w:rsidRPr="007B189E">
        <w:rPr>
          <w:szCs w:val="26"/>
        </w:rPr>
        <w:t>định hướng Petrolimex phát triển theo mô hình tập đoàn năng lượng hiện đại, thích ứng với xu thế chuyển dịch năng lượng và yêu cầu phát triển bền vững. Hội đồng quản trị tiếp tục chỉ đạo rà soát, hoàn thiện chiến lược phát triển dài hạn của Tập đoàn phù hợp với lợi thế và nguồn lực; đồng thời nghiên cứu, chuẩn bị điều kiện tham gia sâu hơn vào các lĩnh vực năng lượng sạch, nhiên liệu thân thiện môi trường và các mô hình kinh doanh mới, qua đó mở rộng không gian tăng trưởng và nâng cao năng lực cạnh tranh</w:t>
      </w:r>
      <w:r w:rsidR="00403E19" w:rsidRPr="007B189E">
        <w:rPr>
          <w:szCs w:val="26"/>
        </w:rPr>
        <w:t>.</w:t>
      </w:r>
    </w:p>
    <w:p w14:paraId="3B18471E" w14:textId="46D01665" w:rsidR="00C156AA" w:rsidRPr="007B189E" w:rsidRDefault="00C156AA" w:rsidP="00756C86">
      <w:pPr>
        <w:spacing w:before="60" w:after="60" w:line="340" w:lineRule="exact"/>
        <w:ind w:firstLine="562"/>
        <w:jc w:val="both"/>
        <w:rPr>
          <w:szCs w:val="26"/>
        </w:rPr>
      </w:pPr>
      <w:r w:rsidRPr="007B189E">
        <w:rPr>
          <w:b/>
          <w:bCs/>
          <w:szCs w:val="26"/>
        </w:rPr>
        <w:t>Ba là,</w:t>
      </w:r>
      <w:r w:rsidRPr="007B189E">
        <w:rPr>
          <w:szCs w:val="26"/>
        </w:rPr>
        <w:t xml:space="preserve"> </w:t>
      </w:r>
      <w:r w:rsidR="00F42D39" w:rsidRPr="007B189E">
        <w:rPr>
          <w:szCs w:val="26"/>
        </w:rPr>
        <w:t>x</w:t>
      </w:r>
      <w:r w:rsidR="00135A8E" w:rsidRPr="007B189E">
        <w:rPr>
          <w:szCs w:val="26"/>
        </w:rPr>
        <w:t>ác định chuyển đổi số là trụ cột của quản trị hiện đại và nền tảng cho các chuyển đổi khác trong Tập đoàn. Hội đồng quản trị tập trung chỉ đạo đẩy mạnh chuyển đổi số đồng bộ, từ số hóa quy trình đến xây dựng doanh nghiệp số vận hành trên nền tảng dữ liệu, công nghệ và trí tuệ nhân tạo; ưu tiên hoàn thiện hạ tầng dữ liệu, tăng cường kết nối, tích hợp hệ thống và ứng dụng công nghệ mới trong quản trị, kinh doanh, dự báo thị trường, quản trị khách hàng và chuỗi cung ứng, qua đó nâng cao hiệu quả vận hành, tính minh bạch và chất lượng phục vụ khách hàng.</w:t>
      </w:r>
    </w:p>
    <w:p w14:paraId="2D6D24DD" w14:textId="00DA01E5" w:rsidR="00C156AA" w:rsidRPr="007B189E" w:rsidRDefault="00C156AA" w:rsidP="00756C86">
      <w:pPr>
        <w:spacing w:before="60" w:after="60" w:line="340" w:lineRule="exact"/>
        <w:ind w:firstLine="562"/>
        <w:jc w:val="both"/>
        <w:rPr>
          <w:szCs w:val="26"/>
        </w:rPr>
      </w:pPr>
      <w:r w:rsidRPr="007B189E">
        <w:rPr>
          <w:b/>
          <w:bCs/>
          <w:szCs w:val="26"/>
        </w:rPr>
        <w:t>Bốn là,</w:t>
      </w:r>
      <w:r w:rsidRPr="007B189E">
        <w:rPr>
          <w:szCs w:val="26"/>
        </w:rPr>
        <w:t xml:space="preserve"> </w:t>
      </w:r>
      <w:r w:rsidR="00EA3C61" w:rsidRPr="007B189E">
        <w:rPr>
          <w:szCs w:val="26"/>
        </w:rPr>
        <w:t>t</w:t>
      </w:r>
      <w:r w:rsidR="000F477D" w:rsidRPr="007B189E">
        <w:rPr>
          <w:szCs w:val="26"/>
        </w:rPr>
        <w:t xml:space="preserve">iếp tục nâng cao chất lượng quản trị doanh nghiệp theo hướng hiện đại, minh bạch, chuyên nghiệp, phân định rõ trách nhiệm gắn với tăng cường kiểm tra, giám sát và quản trị rủi ro chủ động. Hội đồng quản trị </w:t>
      </w:r>
      <w:r w:rsidR="00CD573F" w:rsidRPr="007B189E">
        <w:rPr>
          <w:szCs w:val="26"/>
        </w:rPr>
        <w:t xml:space="preserve">sẽ </w:t>
      </w:r>
      <w:r w:rsidR="000F477D" w:rsidRPr="007B189E">
        <w:rPr>
          <w:szCs w:val="26"/>
        </w:rPr>
        <w:t xml:space="preserve">chỉ đạo rà soát, hoàn thiện các quy chế, quy trình quản trị của Công ty mẹ và toàn hệ thống; tăng cường kỷ luật, kỷ cương, nâng cao hiệu quả kiểm soát nội bộ, quản trị tuân thủ và giám sát thực thi; đồng thời chủ động nhận diện, cảnh báo sớm và có giải pháp ứng phó các rủi ro về thị trường, đầu tư, tài chính, pháp lý, an toàn và môi trường, bảo đảm hoạt động của Tập đoàn an toàn, ổn định, hiệu quả và đúng quy định. </w:t>
      </w:r>
    </w:p>
    <w:p w14:paraId="4F2BF964" w14:textId="03084E0A" w:rsidR="00C156AA" w:rsidRPr="007B189E" w:rsidRDefault="00C156AA" w:rsidP="00756C86">
      <w:pPr>
        <w:spacing w:before="60" w:after="60" w:line="340" w:lineRule="exact"/>
        <w:ind w:firstLine="562"/>
        <w:jc w:val="both"/>
        <w:rPr>
          <w:szCs w:val="26"/>
        </w:rPr>
      </w:pPr>
      <w:r w:rsidRPr="007B189E">
        <w:rPr>
          <w:b/>
          <w:bCs/>
          <w:szCs w:val="26"/>
        </w:rPr>
        <w:t>Năm là,</w:t>
      </w:r>
      <w:r w:rsidRPr="007B189E">
        <w:rPr>
          <w:szCs w:val="26"/>
        </w:rPr>
        <w:t xml:space="preserve"> </w:t>
      </w:r>
      <w:r w:rsidR="00241857" w:rsidRPr="007B189E">
        <w:rPr>
          <w:szCs w:val="26"/>
        </w:rPr>
        <w:t xml:space="preserve">Tiếp tục hoàn thiện mô hình tổ chức và nâng cao chất lượng quản trị sau tái cơ cấu. Năm 2026 đánh dấu bước chuyển từ giai đoạn </w:t>
      </w:r>
      <w:r w:rsidR="00241857" w:rsidRPr="007B189E">
        <w:rPr>
          <w:b/>
          <w:bCs/>
          <w:szCs w:val="26"/>
        </w:rPr>
        <w:t>“tinh gọn bộ máy”</w:t>
      </w:r>
      <w:r w:rsidR="00241857" w:rsidRPr="007B189E">
        <w:rPr>
          <w:szCs w:val="26"/>
        </w:rPr>
        <w:t xml:space="preserve"> sang</w:t>
      </w:r>
      <w:r w:rsidR="00241857" w:rsidRPr="007B189E">
        <w:rPr>
          <w:b/>
          <w:bCs/>
          <w:szCs w:val="26"/>
        </w:rPr>
        <w:t xml:space="preserve"> “nâng cao hiệu năng và hiệu quả vận hành”.</w:t>
      </w:r>
      <w:r w:rsidR="00241857" w:rsidRPr="007B189E">
        <w:rPr>
          <w:szCs w:val="26"/>
        </w:rPr>
        <w:t xml:space="preserve"> Hội đồng quản trị sẽ tập trung rà soát, hoàn thiện cơ chế phân cấp, phân quyền, chuẩn hóa quy trình, tăng cường kiểm tra, giám sát, nâng cao trách nhiệm giải trình và kỷ luật thực thi; đồng thời tiếp tục hoàn thiện các thiết chế quản trị theo hướng hiện đại, chuyên nghiệp, tiệm cận các thông lệ tốt và chuẩn </w:t>
      </w:r>
      <w:r w:rsidR="00241857" w:rsidRPr="007B189E">
        <w:rPr>
          <w:szCs w:val="26"/>
        </w:rPr>
        <w:lastRenderedPageBreak/>
        <w:t>OECD, bảo đảm mỗi cấp, mỗi đơn vị vận hành rõ chức năng, rõ trách nhiệm và gắn với hiệu quả thực chất.</w:t>
      </w:r>
    </w:p>
    <w:p w14:paraId="650B59A0" w14:textId="172B3643" w:rsidR="00C156AA" w:rsidRPr="007B189E" w:rsidRDefault="00C156AA" w:rsidP="00756C86">
      <w:pPr>
        <w:spacing w:before="60" w:after="60" w:line="340" w:lineRule="exact"/>
        <w:ind w:firstLine="562"/>
        <w:jc w:val="both"/>
        <w:rPr>
          <w:szCs w:val="26"/>
        </w:rPr>
      </w:pPr>
      <w:r w:rsidRPr="007B189E">
        <w:rPr>
          <w:b/>
          <w:bCs/>
          <w:szCs w:val="26"/>
        </w:rPr>
        <w:t>Sáu là,</w:t>
      </w:r>
      <w:r w:rsidRPr="007B189E">
        <w:rPr>
          <w:szCs w:val="26"/>
        </w:rPr>
        <w:t xml:space="preserve"> </w:t>
      </w:r>
      <w:r w:rsidR="003D602E" w:rsidRPr="007B189E">
        <w:rPr>
          <w:szCs w:val="26"/>
        </w:rPr>
        <w:t xml:space="preserve">Củng cố vững chắc vị thế dẫn đầu thị trường, phát triển hệ thống kinh doanh theo chiều sâu, nâng cao chất lượng thị phần và tạo động lực tăng trưởng mới. Hội đồng quản trị </w:t>
      </w:r>
      <w:r w:rsidR="00CD573F" w:rsidRPr="007B189E">
        <w:rPr>
          <w:szCs w:val="26"/>
        </w:rPr>
        <w:t xml:space="preserve">sẽ </w:t>
      </w:r>
      <w:r w:rsidR="003D602E" w:rsidRPr="007B189E">
        <w:rPr>
          <w:szCs w:val="26"/>
        </w:rPr>
        <w:t>tập trung chỉ đạo đổi mới mô hình kinh doanh bán lẻ, tối ưu hóa hệ thống phân phối, nâng cao hiệu quả từng điểm bán, từng khu vực và từng kênh tiêu thụ; phát huy lợi thế mạng lưới, hạ tầng kho bãi, cảng, vận tải và logistics. Đồng thời nghiên cứu, triển khai các mô hình kinh doanh mới gắn với phát triển hạ tầng giao thông, dịch vụ tích hợp và nhu cầu tiêu dùng mới, tạo thêm dư địa tăng trưởng cho Petrolimex trong trung và dài hạn.</w:t>
      </w:r>
    </w:p>
    <w:p w14:paraId="7F7A4954" w14:textId="275EBDD0" w:rsidR="00C156AA" w:rsidRPr="007B189E" w:rsidRDefault="00C156AA" w:rsidP="00756C86">
      <w:pPr>
        <w:spacing w:before="60" w:after="60" w:line="340" w:lineRule="exact"/>
        <w:ind w:firstLine="562"/>
        <w:jc w:val="both"/>
        <w:rPr>
          <w:szCs w:val="26"/>
        </w:rPr>
      </w:pPr>
      <w:r w:rsidRPr="007B189E">
        <w:rPr>
          <w:b/>
          <w:bCs/>
          <w:szCs w:val="26"/>
        </w:rPr>
        <w:t>Bảy là,</w:t>
      </w:r>
      <w:r w:rsidRPr="007B189E">
        <w:rPr>
          <w:szCs w:val="26"/>
        </w:rPr>
        <w:t xml:space="preserve"> </w:t>
      </w:r>
      <w:r w:rsidR="00816E94" w:rsidRPr="007B189E">
        <w:rPr>
          <w:szCs w:val="26"/>
        </w:rPr>
        <w:t xml:space="preserve">Tiếp tục nâng tầm thương hiệu Petrolimex theo hướng hiện đại, chuyên nghiệp, thân thiện, lấy khách hàng làm trung tâm. Hội đồng quản trị tập trung chỉ đạo triển khai hệ thống nhận diện thương hiệu mới trong toàn hệ thống, gắn thương hiệu với chất lượng dịch vụ, văn hóa phục vụ, uy tín thị trường, tính minh bạch và trách nhiệm xã hội; qua đó tiếp tục củng cố niềm tin của khách hàng, đối tác, cổ đông và xã hội đối với Petrolimex trong giai đoạn phát triển mới. </w:t>
      </w:r>
    </w:p>
    <w:p w14:paraId="2D8EEB12" w14:textId="5BF03E38" w:rsidR="00E263F1" w:rsidRPr="007B189E" w:rsidRDefault="00C156AA" w:rsidP="00756C86">
      <w:pPr>
        <w:spacing w:before="60" w:after="60" w:line="340" w:lineRule="exact"/>
        <w:ind w:firstLine="562"/>
        <w:jc w:val="both"/>
        <w:rPr>
          <w:szCs w:val="26"/>
        </w:rPr>
      </w:pPr>
      <w:r w:rsidRPr="007B189E">
        <w:rPr>
          <w:b/>
          <w:bCs/>
          <w:szCs w:val="26"/>
        </w:rPr>
        <w:t>Tám là,</w:t>
      </w:r>
      <w:r w:rsidR="00C57824" w:rsidRPr="007B189E">
        <w:rPr>
          <w:b/>
          <w:bCs/>
          <w:szCs w:val="26"/>
        </w:rPr>
        <w:t xml:space="preserve"> </w:t>
      </w:r>
      <w:r w:rsidR="00C57824" w:rsidRPr="007B189E">
        <w:rPr>
          <w:spacing w:val="-2"/>
          <w:szCs w:val="26"/>
        </w:rPr>
        <w:t>l</w:t>
      </w:r>
      <w:r w:rsidR="00E263F1" w:rsidRPr="007B189E">
        <w:rPr>
          <w:spacing w:val="-2"/>
          <w:szCs w:val="26"/>
        </w:rPr>
        <w:t xml:space="preserve">ấy con người, văn hóa doanh nghiệp và đổi mới phương thức lãnh đạo làm nền tảng tạo sức mạnh nội sinh cho Tập đoàn. Hội đồng quản trị tiếp tục chỉ đạo hoàn thiện chiến lược phát triển nguồn nhân lực theo hướng hiện đại, chuyên nghiệp; xây dựng đội ngũ lãnh đạo, quản lý và lực lượng kế cận có bản lĩnh, năng lực và tư duy đổi mới. </w:t>
      </w:r>
      <w:r w:rsidR="00C57824" w:rsidRPr="007B189E">
        <w:rPr>
          <w:spacing w:val="-2"/>
          <w:szCs w:val="26"/>
        </w:rPr>
        <w:t xml:space="preserve">HĐQT Petrolimex xác định việc tái cơ cấu tổ chức chỉ thực sự thành công khi được đi cùng với tái cơ cấu chất lượng nguồn nhân lực, văn hóa thực thi và tinh thần dấn thân vì mục tiêu chung của Tập đoàn. </w:t>
      </w:r>
      <w:r w:rsidR="00E263F1" w:rsidRPr="007B189E">
        <w:rPr>
          <w:spacing w:val="-2"/>
          <w:szCs w:val="26"/>
        </w:rPr>
        <w:t>Đồng thời, tiếp tục xây dựng văn hóa Petrolimex đoàn kết, kỷ cương, chuyên nghiệp, đổi mới, tạo sự thống nhất trong nhận thức và hành động, chuyển hóa các mục tiêu chiến lược thành kết quả cụ thể trong thực tiễn</w:t>
      </w:r>
      <w:r w:rsidR="00C57824" w:rsidRPr="007B189E">
        <w:rPr>
          <w:spacing w:val="-2"/>
          <w:szCs w:val="26"/>
        </w:rPr>
        <w:t>.</w:t>
      </w:r>
    </w:p>
    <w:p w14:paraId="556AEC54" w14:textId="372F6D55" w:rsidR="00413EF0" w:rsidRPr="007B189E" w:rsidRDefault="00413EF0" w:rsidP="00756C86">
      <w:pPr>
        <w:spacing w:before="60" w:after="60" w:line="340" w:lineRule="exact"/>
        <w:ind w:firstLine="562"/>
        <w:jc w:val="both"/>
        <w:rPr>
          <w:szCs w:val="26"/>
        </w:rPr>
      </w:pPr>
      <w:r w:rsidRPr="007B189E">
        <w:rPr>
          <w:b/>
          <w:bCs/>
          <w:szCs w:val="26"/>
        </w:rPr>
        <w:t>Chín là</w:t>
      </w:r>
      <w:r w:rsidRPr="007B189E">
        <w:rPr>
          <w:szCs w:val="26"/>
        </w:rPr>
        <w:t xml:space="preserve">, </w:t>
      </w:r>
      <w:r w:rsidR="005D6337" w:rsidRPr="007B189E">
        <w:rPr>
          <w:szCs w:val="26"/>
        </w:rPr>
        <w:t>Nâng cao chuẩn mực phát triển bền vững (ESG), minh bạch trong quản trị và trách nhiệm với cổ đông, thị trường và xã hội. Trên nền tảng các định hướng phát triển bền vững, kiểm kê khí nhà kính và chuyển dịch xanh đã công bố, năm 2026 Hội đồng quản trị tiếp tục chỉ đạo lồng ghép các mục tiêu ESG vào chiến lược, đầu tư và vận hành; tăng cường kiểm soát rủi ro môi trường, an toàn, tuân thủ; nâng cao chất lượng công bố thông tin và đối thoại với cổ đông, qua đó củng cố uy tín và giá trị dài hạn của thương hiệu Petrolimex.</w:t>
      </w:r>
    </w:p>
    <w:p w14:paraId="1718C2BA" w14:textId="22CFDB2F" w:rsidR="00C156AA" w:rsidRPr="007B189E" w:rsidRDefault="00C156AA" w:rsidP="00756C86">
      <w:pPr>
        <w:spacing w:before="60" w:after="60" w:line="340" w:lineRule="exact"/>
        <w:ind w:firstLine="562"/>
        <w:jc w:val="both"/>
        <w:rPr>
          <w:szCs w:val="26"/>
        </w:rPr>
      </w:pPr>
      <w:r w:rsidRPr="007B189E">
        <w:rPr>
          <w:szCs w:val="26"/>
        </w:rPr>
        <w:t xml:space="preserve">Với các định hướng nêu trên, Hội đồng quản trị sẽ tiếp tục phát huy vai trò định hướng, kiến tạo, giám sát và đồng hành cùng Ban </w:t>
      </w:r>
      <w:r w:rsidR="00960632" w:rsidRPr="007B189E">
        <w:rPr>
          <w:szCs w:val="26"/>
        </w:rPr>
        <w:t>Đ</w:t>
      </w:r>
      <w:r w:rsidRPr="007B189E">
        <w:rPr>
          <w:szCs w:val="26"/>
        </w:rPr>
        <w:t>iều hành, cùng toàn thể cán bộ, người lao động trong toàn Tập đoàn, quyết tâm thực hiện thắng lợi các mục tiêu, nhiệm vụ năm 2026; bảo đảm hài hòa lợi ích của Nhà nước, cổ đông, người lao động và cộng đồng xã hội; tiếp tục xây dựng Petrolimex phát triển ổn định, hiệu quả, bền vững, xứng đáng với vị thế doanh nghiệp đầu ngành và truyền thống 70 năm xây dựng, trưởng thành.</w:t>
      </w:r>
    </w:p>
    <w:p w14:paraId="71C29BF1" w14:textId="77777777" w:rsidR="003419CC" w:rsidRPr="007B189E" w:rsidRDefault="003419CC" w:rsidP="00E876C7">
      <w:pPr>
        <w:tabs>
          <w:tab w:val="left" w:pos="1134"/>
        </w:tabs>
        <w:spacing w:before="60" w:after="60" w:line="360" w:lineRule="exact"/>
        <w:ind w:firstLine="567"/>
        <w:jc w:val="both"/>
        <w:rPr>
          <w:b/>
          <w:szCs w:val="26"/>
          <w:lang w:val="vi-VN"/>
        </w:rPr>
      </w:pPr>
      <w:r w:rsidRPr="007B189E">
        <w:rPr>
          <w:b/>
          <w:szCs w:val="26"/>
          <w:lang w:val="vi-VN"/>
        </w:rPr>
        <w:t>Kính thưa các Quý Cổ đông và các Quý vị đại biểu,</w:t>
      </w:r>
    </w:p>
    <w:p w14:paraId="51E55E37" w14:textId="5036C845" w:rsidR="003419CC" w:rsidRPr="007B189E" w:rsidRDefault="003419CC" w:rsidP="00E876C7">
      <w:pPr>
        <w:spacing w:before="60" w:after="60" w:line="360" w:lineRule="exact"/>
        <w:ind w:firstLine="567"/>
        <w:jc w:val="both"/>
        <w:rPr>
          <w:szCs w:val="26"/>
          <w:lang w:val="vi-VN"/>
        </w:rPr>
      </w:pPr>
      <w:r w:rsidRPr="007B189E">
        <w:rPr>
          <w:szCs w:val="26"/>
          <w:lang w:val="vi-VN"/>
        </w:rPr>
        <w:lastRenderedPageBreak/>
        <w:t>Năm 2025, mặc dù gặp nhiều khó khăn, thách thức nhưng bằng sự đoàn kết và nỗ lực cao, HĐQT, Ban điều hành đã triển khai tích cực và có hiệu quả Nghị quyết của ĐHĐCĐ thường niên, hoàn thành toàn diện, vượt mức các chỉ tiêu kế hoạch năm 2025 Đại hội đồng cổ đông thông qua.</w:t>
      </w:r>
    </w:p>
    <w:p w14:paraId="675C52F2" w14:textId="2E97193C" w:rsidR="003419CC" w:rsidRPr="007B189E" w:rsidRDefault="003419CC" w:rsidP="00E876C7">
      <w:pPr>
        <w:spacing w:before="60" w:after="60" w:line="360" w:lineRule="exact"/>
        <w:ind w:firstLine="567"/>
        <w:jc w:val="both"/>
        <w:rPr>
          <w:szCs w:val="26"/>
          <w:lang w:val="vi-VN"/>
        </w:rPr>
      </w:pPr>
      <w:r w:rsidRPr="007B189E">
        <w:rPr>
          <w:szCs w:val="26"/>
          <w:lang w:val="vi-VN"/>
        </w:rPr>
        <w:t>Năm 2026 được đánh giá là năm có nhiều khó khăn</w:t>
      </w:r>
      <w:r w:rsidR="00E85D0C" w:rsidRPr="007B189E">
        <w:rPr>
          <w:szCs w:val="26"/>
          <w:lang w:val="vi-VN"/>
        </w:rPr>
        <w:t>, thách thức</w:t>
      </w:r>
      <w:r w:rsidRPr="007B189E">
        <w:rPr>
          <w:szCs w:val="26"/>
          <w:lang w:val="vi-VN"/>
        </w:rPr>
        <w:t xml:space="preserve"> hơn thuận lợi, </w:t>
      </w:r>
      <w:r w:rsidR="00680AE3" w:rsidRPr="007B189E">
        <w:rPr>
          <w:szCs w:val="26"/>
          <w:lang w:val="vi-VN"/>
        </w:rPr>
        <w:t xml:space="preserve">đồng thời </w:t>
      </w:r>
      <w:r w:rsidRPr="007B189E">
        <w:rPr>
          <w:szCs w:val="26"/>
          <w:lang w:val="vi-VN"/>
        </w:rPr>
        <w:t>là năm đầu của giai đoạn 2026 - 203</w:t>
      </w:r>
      <w:r w:rsidR="003C4AB0" w:rsidRPr="007B189E">
        <w:rPr>
          <w:szCs w:val="26"/>
          <w:lang w:val="vi-VN"/>
        </w:rPr>
        <w:t>0</w:t>
      </w:r>
      <w:r w:rsidRPr="007B189E">
        <w:rPr>
          <w:szCs w:val="26"/>
          <w:lang w:val="vi-VN"/>
        </w:rPr>
        <w:t>. Trên cơ sở đánh giá kết quả thực hiện năm 2025 và dự báo tình hình năm 2026, HĐQT cam kết sẽ tiếp tục nỗ lực hết mình trong công tác lãnh đạo, chỉ đạo Tập đoàn hoạt động có hiệu quả, phát triển bền vững, bảo toàn và phát triển vốn, mang lại giá trị gia tăng cao cho cổ đông.</w:t>
      </w:r>
    </w:p>
    <w:p w14:paraId="5BE70E7D" w14:textId="76A214BB" w:rsidR="003419CC" w:rsidRPr="007B189E" w:rsidRDefault="003419CC" w:rsidP="00E876C7">
      <w:pPr>
        <w:spacing w:before="60" w:after="60" w:line="360" w:lineRule="exact"/>
        <w:ind w:firstLine="567"/>
        <w:jc w:val="both"/>
        <w:rPr>
          <w:spacing w:val="-4"/>
          <w:szCs w:val="26"/>
          <w:lang w:val="vi-VN"/>
        </w:rPr>
      </w:pPr>
      <w:r w:rsidRPr="007B189E">
        <w:rPr>
          <w:szCs w:val="26"/>
          <w:lang w:val="vi-VN"/>
        </w:rPr>
        <w:tab/>
        <w:t>Thay mặt HĐQT</w:t>
      </w:r>
      <w:r w:rsidR="00F36B32" w:rsidRPr="007B189E">
        <w:rPr>
          <w:szCs w:val="26"/>
          <w:lang w:val="vi-VN"/>
        </w:rPr>
        <w:t xml:space="preserve"> Petrolimex</w:t>
      </w:r>
      <w:r w:rsidRPr="007B189E">
        <w:rPr>
          <w:szCs w:val="26"/>
          <w:lang w:val="vi-VN"/>
        </w:rPr>
        <w:t>, Tôi trân trọng gửi lời cảm ơn đến các Quý Cổ đông, các Bộ/Ban ngành cùng đối tác, khách hàng đã tin tưởng và ủng hộ Petrolimex trong những năm qua. Chúng tôi cam kết sẽ tiếp tục nỗ lực hết mình vì sự phát triển bền vững của Petrolimex</w:t>
      </w:r>
      <w:r w:rsidRPr="007B189E">
        <w:rPr>
          <w:spacing w:val="-4"/>
          <w:szCs w:val="26"/>
          <w:lang w:val="vi-VN"/>
        </w:rPr>
        <w:t>.</w:t>
      </w:r>
    </w:p>
    <w:p w14:paraId="6F28228E" w14:textId="68B69CC8" w:rsidR="003419CC" w:rsidRPr="007B189E" w:rsidRDefault="003419CC" w:rsidP="00E876C7">
      <w:pPr>
        <w:spacing w:before="60" w:after="60" w:line="360" w:lineRule="exact"/>
        <w:ind w:firstLine="562"/>
        <w:jc w:val="both"/>
        <w:rPr>
          <w:bCs/>
          <w:spacing w:val="-6"/>
          <w:szCs w:val="26"/>
          <w:lang w:val="vi-VN"/>
        </w:rPr>
      </w:pPr>
      <w:r w:rsidRPr="007B189E">
        <w:rPr>
          <w:spacing w:val="-6"/>
          <w:szCs w:val="26"/>
          <w:lang w:val="vi-VN"/>
        </w:rPr>
        <w:tab/>
      </w:r>
      <w:r w:rsidR="00102FC9" w:rsidRPr="007B189E">
        <w:rPr>
          <w:spacing w:val="-6"/>
          <w:szCs w:val="26"/>
          <w:lang w:val="vi-VN"/>
        </w:rPr>
        <w:t>X</w:t>
      </w:r>
      <w:r w:rsidRPr="007B189E">
        <w:rPr>
          <w:spacing w:val="-6"/>
          <w:szCs w:val="26"/>
          <w:lang w:val="vi-VN"/>
        </w:rPr>
        <w:t>in chúc các Quý cổ đông và các Quý vị đại biểu sức khỏe, thành công và hạnh phúc!</w:t>
      </w:r>
    </w:p>
    <w:tbl>
      <w:tblPr>
        <w:tblW w:w="0" w:type="auto"/>
        <w:tblInd w:w="450" w:type="dxa"/>
        <w:tblLook w:val="04A0" w:firstRow="1" w:lastRow="0" w:firstColumn="1" w:lastColumn="0" w:noHBand="0" w:noVBand="1"/>
      </w:tblPr>
      <w:tblGrid>
        <w:gridCol w:w="3877"/>
        <w:gridCol w:w="4743"/>
      </w:tblGrid>
      <w:tr w:rsidR="008521F9" w:rsidRPr="007B189E" w14:paraId="6898D9E5" w14:textId="77777777" w:rsidTr="00703E97">
        <w:tc>
          <w:tcPr>
            <w:tcW w:w="3877" w:type="dxa"/>
          </w:tcPr>
          <w:p w14:paraId="08C94413" w14:textId="57910592" w:rsidR="008521F9" w:rsidRPr="007B189E" w:rsidRDefault="008521F9" w:rsidP="00412FE9">
            <w:pPr>
              <w:spacing w:before="60" w:after="0" w:line="240" w:lineRule="auto"/>
              <w:jc w:val="both"/>
              <w:rPr>
                <w:rFonts w:eastAsia="Times New Roman"/>
                <w:szCs w:val="26"/>
                <w:lang w:val="vi-VN"/>
              </w:rPr>
            </w:pPr>
            <w:r w:rsidRPr="007B189E">
              <w:rPr>
                <w:b/>
                <w:bCs/>
                <w:spacing w:val="-2"/>
                <w:szCs w:val="26"/>
                <w:lang w:val="vi-VN"/>
              </w:rPr>
              <w:t xml:space="preserve"> </w:t>
            </w:r>
          </w:p>
        </w:tc>
        <w:tc>
          <w:tcPr>
            <w:tcW w:w="4743" w:type="dxa"/>
          </w:tcPr>
          <w:p w14:paraId="2C45361D" w14:textId="4966EB20" w:rsidR="008521F9" w:rsidRPr="007B189E" w:rsidRDefault="008521F9" w:rsidP="00F36B32">
            <w:pPr>
              <w:spacing w:before="120" w:after="120" w:line="340" w:lineRule="exact"/>
              <w:ind w:right="-142"/>
              <w:jc w:val="center"/>
              <w:rPr>
                <w:rFonts w:eastAsia="Times New Roman"/>
                <w:b/>
                <w:bCs/>
                <w:szCs w:val="26"/>
                <w:lang w:val="vi-VN"/>
              </w:rPr>
            </w:pPr>
            <w:r w:rsidRPr="007B189E">
              <w:rPr>
                <w:rFonts w:eastAsia="Times New Roman"/>
                <w:b/>
                <w:bCs/>
                <w:szCs w:val="26"/>
                <w:lang w:val="vi-VN"/>
              </w:rPr>
              <w:t>TM. HỘI ĐỒNG QUẢN TRỊ</w:t>
            </w:r>
          </w:p>
          <w:p w14:paraId="7639CCA0" w14:textId="77777777" w:rsidR="008521F9" w:rsidRPr="007B189E" w:rsidRDefault="008521F9" w:rsidP="00F36B32">
            <w:pPr>
              <w:spacing w:before="120" w:after="120" w:line="340" w:lineRule="exact"/>
              <w:ind w:right="-142"/>
              <w:jc w:val="center"/>
              <w:rPr>
                <w:rFonts w:eastAsia="Times New Roman"/>
                <w:b/>
                <w:bCs/>
                <w:szCs w:val="26"/>
                <w:lang w:val="vi-VN"/>
              </w:rPr>
            </w:pPr>
            <w:r w:rsidRPr="007B189E">
              <w:rPr>
                <w:rFonts w:eastAsia="Times New Roman"/>
                <w:b/>
                <w:bCs/>
                <w:szCs w:val="26"/>
                <w:lang w:val="vi-VN"/>
              </w:rPr>
              <w:t>CHỦ TỊCH</w:t>
            </w:r>
          </w:p>
          <w:p w14:paraId="77497B9B" w14:textId="77777777" w:rsidR="007B692A" w:rsidRPr="007B189E" w:rsidRDefault="007B692A" w:rsidP="00A93489">
            <w:pPr>
              <w:spacing w:before="60" w:after="0" w:line="240" w:lineRule="auto"/>
              <w:jc w:val="center"/>
              <w:rPr>
                <w:rFonts w:eastAsia="Times New Roman"/>
                <w:b/>
                <w:szCs w:val="26"/>
                <w:lang w:val="vi-VN"/>
              </w:rPr>
            </w:pPr>
          </w:p>
          <w:p w14:paraId="58F3FC9F" w14:textId="77777777" w:rsidR="008521F9" w:rsidRPr="007B189E" w:rsidRDefault="008521F9" w:rsidP="000719B5">
            <w:pPr>
              <w:spacing w:before="60" w:after="0" w:line="240" w:lineRule="auto"/>
              <w:rPr>
                <w:rFonts w:eastAsia="Times New Roman"/>
                <w:b/>
                <w:szCs w:val="26"/>
                <w:lang w:val="vi-VN"/>
              </w:rPr>
            </w:pPr>
          </w:p>
          <w:p w14:paraId="7C9FC4EF" w14:textId="77777777" w:rsidR="00F36B32" w:rsidRPr="007B189E" w:rsidRDefault="00F36B32" w:rsidP="000719B5">
            <w:pPr>
              <w:spacing w:before="60" w:after="0" w:line="240" w:lineRule="auto"/>
              <w:rPr>
                <w:rFonts w:eastAsia="Times New Roman"/>
                <w:b/>
                <w:szCs w:val="26"/>
                <w:lang w:val="vi-VN"/>
              </w:rPr>
            </w:pPr>
          </w:p>
          <w:p w14:paraId="40656264" w14:textId="77777777" w:rsidR="00CC67B0" w:rsidRPr="007B189E" w:rsidRDefault="00CC67B0" w:rsidP="000719B5">
            <w:pPr>
              <w:spacing w:before="60" w:after="0" w:line="240" w:lineRule="auto"/>
              <w:rPr>
                <w:rFonts w:eastAsia="Times New Roman"/>
                <w:b/>
                <w:szCs w:val="26"/>
                <w:lang w:val="vi-VN"/>
              </w:rPr>
            </w:pPr>
          </w:p>
          <w:p w14:paraId="232F4C8F" w14:textId="77777777" w:rsidR="008521F9" w:rsidRPr="007B189E" w:rsidRDefault="008521F9" w:rsidP="00A93489">
            <w:pPr>
              <w:spacing w:after="0" w:line="240" w:lineRule="auto"/>
              <w:ind w:right="-142"/>
              <w:jc w:val="center"/>
              <w:rPr>
                <w:rFonts w:eastAsia="Times New Roman"/>
                <w:szCs w:val="26"/>
              </w:rPr>
            </w:pPr>
            <w:r w:rsidRPr="007B189E">
              <w:rPr>
                <w:rFonts w:eastAsia="Times New Roman"/>
                <w:b/>
                <w:bCs/>
                <w:szCs w:val="26"/>
              </w:rPr>
              <w:t>Phạm Văn Thanh</w:t>
            </w:r>
          </w:p>
        </w:tc>
      </w:tr>
      <w:bookmarkEnd w:id="1"/>
    </w:tbl>
    <w:p w14:paraId="574423C7" w14:textId="14DEF249" w:rsidR="00097A1A" w:rsidRPr="007B189E" w:rsidRDefault="00097A1A" w:rsidP="002451A2">
      <w:pPr>
        <w:spacing w:after="0"/>
        <w:ind w:right="130"/>
        <w:jc w:val="both"/>
        <w:rPr>
          <w:szCs w:val="26"/>
        </w:rPr>
      </w:pPr>
    </w:p>
    <w:p w14:paraId="6EFB85AD" w14:textId="77777777" w:rsidR="007F24E0" w:rsidRPr="007B189E" w:rsidRDefault="007F24E0" w:rsidP="002451A2">
      <w:pPr>
        <w:spacing w:after="0"/>
        <w:ind w:right="130"/>
        <w:jc w:val="both"/>
        <w:rPr>
          <w:szCs w:val="26"/>
        </w:rPr>
      </w:pPr>
    </w:p>
    <w:p w14:paraId="4C896770" w14:textId="4E521671" w:rsidR="007F24E0" w:rsidRPr="007B189E" w:rsidRDefault="007F24E0">
      <w:pPr>
        <w:spacing w:line="278" w:lineRule="auto"/>
        <w:rPr>
          <w:szCs w:val="26"/>
        </w:rPr>
      </w:pPr>
      <w:r w:rsidRPr="007B189E">
        <w:rPr>
          <w:szCs w:val="26"/>
        </w:rPr>
        <w:br w:type="page"/>
      </w:r>
    </w:p>
    <w:p w14:paraId="3E33D653" w14:textId="02ABD900" w:rsidR="007F24E0" w:rsidRPr="007B189E" w:rsidRDefault="007F24E0" w:rsidP="00DD5CE3">
      <w:pPr>
        <w:spacing w:after="0" w:line="340" w:lineRule="exact"/>
        <w:ind w:right="130"/>
        <w:jc w:val="center"/>
        <w:rPr>
          <w:b/>
          <w:bCs/>
          <w:szCs w:val="26"/>
        </w:rPr>
      </w:pPr>
      <w:r w:rsidRPr="007B189E">
        <w:rPr>
          <w:b/>
          <w:bCs/>
          <w:szCs w:val="26"/>
        </w:rPr>
        <w:lastRenderedPageBreak/>
        <w:t xml:space="preserve">PHỤ LỤC KẾT QUẢ HOẠT ĐỘNG SXKD GIAI ĐOẠN 2021 </w:t>
      </w:r>
      <w:r w:rsidR="00F03AA0" w:rsidRPr="007B189E">
        <w:rPr>
          <w:b/>
          <w:bCs/>
          <w:szCs w:val="26"/>
        </w:rPr>
        <w:t>-</w:t>
      </w:r>
      <w:r w:rsidRPr="007B189E">
        <w:rPr>
          <w:b/>
          <w:bCs/>
          <w:szCs w:val="26"/>
        </w:rPr>
        <w:t xml:space="preserve"> 2025</w:t>
      </w:r>
    </w:p>
    <w:p w14:paraId="1696BB7E" w14:textId="24ECD17D" w:rsidR="007F24E0" w:rsidRPr="007B189E" w:rsidRDefault="00F03AA0" w:rsidP="00DD5CE3">
      <w:pPr>
        <w:spacing w:after="0" w:line="340" w:lineRule="exact"/>
        <w:ind w:right="130"/>
        <w:jc w:val="center"/>
        <w:rPr>
          <w:b/>
          <w:bCs/>
          <w:szCs w:val="26"/>
        </w:rPr>
      </w:pPr>
      <w:r w:rsidRPr="007B189E">
        <w:rPr>
          <w:b/>
          <w:bCs/>
          <w:szCs w:val="26"/>
        </w:rPr>
        <w:t xml:space="preserve">ĐỊNH HƯỚNG KẾ HOẠCH SXKD GIAI ĐOẠN 2026 </w:t>
      </w:r>
      <w:r w:rsidR="005224D3" w:rsidRPr="007B189E">
        <w:rPr>
          <w:b/>
          <w:bCs/>
          <w:szCs w:val="26"/>
        </w:rPr>
        <w:t>-</w:t>
      </w:r>
      <w:r w:rsidRPr="007B189E">
        <w:rPr>
          <w:b/>
          <w:bCs/>
          <w:szCs w:val="26"/>
        </w:rPr>
        <w:t xml:space="preserve"> 2030</w:t>
      </w:r>
    </w:p>
    <w:p w14:paraId="2825F3A3" w14:textId="77777777" w:rsidR="00655A4C" w:rsidRPr="007B189E" w:rsidRDefault="00655A4C" w:rsidP="00655A4C">
      <w:pPr>
        <w:spacing w:after="0"/>
        <w:ind w:right="130"/>
        <w:rPr>
          <w:b/>
          <w:bCs/>
          <w:szCs w:val="26"/>
        </w:rPr>
      </w:pPr>
    </w:p>
    <w:p w14:paraId="5A91B5E4" w14:textId="480FBBB6" w:rsidR="00655A4C" w:rsidRPr="007B189E" w:rsidRDefault="00655A4C" w:rsidP="00DD5CE3">
      <w:pPr>
        <w:pStyle w:val="ListParagraph"/>
        <w:numPr>
          <w:ilvl w:val="0"/>
          <w:numId w:val="4"/>
        </w:numPr>
        <w:spacing w:before="120" w:after="120"/>
        <w:ind w:left="714" w:right="130" w:hanging="357"/>
        <w:rPr>
          <w:b/>
          <w:bCs/>
          <w:szCs w:val="26"/>
        </w:rPr>
      </w:pPr>
      <w:r w:rsidRPr="007B189E">
        <w:rPr>
          <w:b/>
          <w:bCs/>
          <w:szCs w:val="26"/>
        </w:rPr>
        <w:t xml:space="preserve">Kết quả hoạt động SXKD giai đoạn 2021 </w:t>
      </w:r>
      <w:r w:rsidR="005224D3" w:rsidRPr="007B189E">
        <w:rPr>
          <w:b/>
          <w:bCs/>
          <w:szCs w:val="26"/>
        </w:rPr>
        <w:t>-</w:t>
      </w:r>
      <w:r w:rsidRPr="007B189E">
        <w:rPr>
          <w:b/>
          <w:bCs/>
          <w:szCs w:val="26"/>
        </w:rPr>
        <w:t xml:space="preserve"> 2025</w:t>
      </w:r>
      <w:r w:rsidR="00395B3D" w:rsidRPr="007B189E">
        <w:rPr>
          <w:b/>
          <w:bCs/>
          <w:szCs w:val="26"/>
        </w:rPr>
        <w:t>:</w:t>
      </w:r>
    </w:p>
    <w:tbl>
      <w:tblPr>
        <w:tblW w:w="5977"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9"/>
        <w:gridCol w:w="1914"/>
        <w:gridCol w:w="1168"/>
        <w:gridCol w:w="1170"/>
        <w:gridCol w:w="1170"/>
        <w:gridCol w:w="1170"/>
        <w:gridCol w:w="1170"/>
        <w:gridCol w:w="1170"/>
        <w:gridCol w:w="1352"/>
      </w:tblGrid>
      <w:tr w:rsidR="007B189E" w:rsidRPr="007B189E" w14:paraId="142E9198" w14:textId="77777777" w:rsidTr="004519E3">
        <w:trPr>
          <w:trHeight w:val="362"/>
          <w:tblHeader/>
        </w:trPr>
        <w:tc>
          <w:tcPr>
            <w:tcW w:w="253" w:type="pct"/>
            <w:tcMar>
              <w:top w:w="0" w:type="dxa"/>
              <w:left w:w="108" w:type="dxa"/>
              <w:bottom w:w="0" w:type="dxa"/>
              <w:right w:w="108" w:type="dxa"/>
            </w:tcMar>
            <w:vAlign w:val="center"/>
            <w:hideMark/>
          </w:tcPr>
          <w:p w14:paraId="5662B24C" w14:textId="77777777" w:rsidR="00655A4C" w:rsidRPr="00034A31" w:rsidRDefault="00655A4C" w:rsidP="00DD5CE3">
            <w:pPr>
              <w:spacing w:before="60" w:after="60" w:line="340" w:lineRule="exact"/>
              <w:jc w:val="center"/>
              <w:rPr>
                <w:b/>
                <w:bCs/>
                <w:color w:val="0000FF"/>
                <w:sz w:val="20"/>
                <w:szCs w:val="20"/>
              </w:rPr>
            </w:pPr>
            <w:r w:rsidRPr="00034A31">
              <w:rPr>
                <w:b/>
                <w:bCs/>
                <w:color w:val="0000FF"/>
                <w:sz w:val="20"/>
                <w:szCs w:val="20"/>
              </w:rPr>
              <w:t>TT</w:t>
            </w:r>
          </w:p>
        </w:tc>
        <w:tc>
          <w:tcPr>
            <w:tcW w:w="883" w:type="pct"/>
            <w:tcMar>
              <w:top w:w="0" w:type="dxa"/>
              <w:left w:w="108" w:type="dxa"/>
              <w:bottom w:w="0" w:type="dxa"/>
              <w:right w:w="108" w:type="dxa"/>
            </w:tcMar>
            <w:vAlign w:val="center"/>
            <w:hideMark/>
          </w:tcPr>
          <w:p w14:paraId="235EEF2B" w14:textId="77777777" w:rsidR="00655A4C" w:rsidRPr="00034A31" w:rsidRDefault="00655A4C" w:rsidP="00DD5CE3">
            <w:pPr>
              <w:spacing w:before="60" w:after="60" w:line="340" w:lineRule="exact"/>
              <w:jc w:val="center"/>
              <w:rPr>
                <w:b/>
                <w:bCs/>
                <w:color w:val="0000FF"/>
                <w:sz w:val="20"/>
                <w:szCs w:val="20"/>
              </w:rPr>
            </w:pPr>
            <w:r w:rsidRPr="00034A31">
              <w:rPr>
                <w:b/>
                <w:bCs/>
                <w:color w:val="0000FF"/>
                <w:sz w:val="20"/>
                <w:szCs w:val="20"/>
              </w:rPr>
              <w:t>Chỉ tiêu</w:t>
            </w:r>
          </w:p>
        </w:tc>
        <w:tc>
          <w:tcPr>
            <w:tcW w:w="539" w:type="pct"/>
            <w:tcMar>
              <w:top w:w="0" w:type="dxa"/>
              <w:left w:w="108" w:type="dxa"/>
              <w:bottom w:w="0" w:type="dxa"/>
              <w:right w:w="108" w:type="dxa"/>
            </w:tcMar>
            <w:vAlign w:val="center"/>
            <w:hideMark/>
          </w:tcPr>
          <w:p w14:paraId="0C0A0B22" w14:textId="77777777" w:rsidR="00655A4C" w:rsidRPr="00034A31" w:rsidRDefault="00655A4C" w:rsidP="00DD5CE3">
            <w:pPr>
              <w:spacing w:before="60" w:after="60" w:line="340" w:lineRule="exact"/>
              <w:jc w:val="center"/>
              <w:rPr>
                <w:b/>
                <w:bCs/>
                <w:color w:val="0000FF"/>
                <w:sz w:val="20"/>
                <w:szCs w:val="20"/>
              </w:rPr>
            </w:pPr>
            <w:r w:rsidRPr="00034A31">
              <w:rPr>
                <w:b/>
                <w:bCs/>
                <w:color w:val="0000FF"/>
                <w:sz w:val="20"/>
                <w:szCs w:val="20"/>
              </w:rPr>
              <w:t>TH 2021</w:t>
            </w:r>
          </w:p>
        </w:tc>
        <w:tc>
          <w:tcPr>
            <w:tcW w:w="540" w:type="pct"/>
            <w:vAlign w:val="center"/>
          </w:tcPr>
          <w:p w14:paraId="7859C7E7" w14:textId="77777777" w:rsidR="00655A4C" w:rsidRPr="00034A31" w:rsidRDefault="00655A4C" w:rsidP="00DD5CE3">
            <w:pPr>
              <w:spacing w:before="60" w:after="60" w:line="340" w:lineRule="exact"/>
              <w:jc w:val="center"/>
              <w:rPr>
                <w:b/>
                <w:bCs/>
                <w:color w:val="0000FF"/>
                <w:sz w:val="20"/>
                <w:szCs w:val="20"/>
              </w:rPr>
            </w:pPr>
            <w:r w:rsidRPr="00034A31">
              <w:rPr>
                <w:b/>
                <w:bCs/>
                <w:color w:val="0000FF"/>
                <w:sz w:val="20"/>
                <w:szCs w:val="20"/>
              </w:rPr>
              <w:t>TH 2022</w:t>
            </w:r>
          </w:p>
        </w:tc>
        <w:tc>
          <w:tcPr>
            <w:tcW w:w="540" w:type="pct"/>
            <w:vAlign w:val="center"/>
          </w:tcPr>
          <w:p w14:paraId="2756DDBC" w14:textId="77777777" w:rsidR="00655A4C" w:rsidRPr="00034A31" w:rsidRDefault="00655A4C" w:rsidP="00DD5CE3">
            <w:pPr>
              <w:spacing w:before="60" w:after="60" w:line="340" w:lineRule="exact"/>
              <w:jc w:val="center"/>
              <w:rPr>
                <w:b/>
                <w:bCs/>
                <w:color w:val="0000FF"/>
                <w:sz w:val="20"/>
                <w:szCs w:val="20"/>
              </w:rPr>
            </w:pPr>
            <w:r w:rsidRPr="00034A31">
              <w:rPr>
                <w:b/>
                <w:bCs/>
                <w:color w:val="0000FF"/>
                <w:sz w:val="20"/>
                <w:szCs w:val="20"/>
              </w:rPr>
              <w:t>TH 2023</w:t>
            </w:r>
          </w:p>
        </w:tc>
        <w:tc>
          <w:tcPr>
            <w:tcW w:w="540" w:type="pct"/>
            <w:vAlign w:val="center"/>
          </w:tcPr>
          <w:p w14:paraId="4A852FAA" w14:textId="77777777" w:rsidR="00655A4C" w:rsidRPr="00034A31" w:rsidRDefault="00655A4C" w:rsidP="00DD5CE3">
            <w:pPr>
              <w:spacing w:before="60" w:after="60" w:line="340" w:lineRule="exact"/>
              <w:jc w:val="center"/>
              <w:rPr>
                <w:b/>
                <w:bCs/>
                <w:color w:val="0000FF"/>
                <w:sz w:val="20"/>
                <w:szCs w:val="20"/>
              </w:rPr>
            </w:pPr>
            <w:r w:rsidRPr="00034A31">
              <w:rPr>
                <w:b/>
                <w:bCs/>
                <w:color w:val="0000FF"/>
                <w:sz w:val="20"/>
                <w:szCs w:val="20"/>
              </w:rPr>
              <w:t>TH 2024</w:t>
            </w:r>
          </w:p>
        </w:tc>
        <w:tc>
          <w:tcPr>
            <w:tcW w:w="540" w:type="pct"/>
            <w:tcMar>
              <w:top w:w="0" w:type="dxa"/>
              <w:left w:w="108" w:type="dxa"/>
              <w:bottom w:w="0" w:type="dxa"/>
              <w:right w:w="108" w:type="dxa"/>
            </w:tcMar>
            <w:vAlign w:val="center"/>
            <w:hideMark/>
          </w:tcPr>
          <w:p w14:paraId="728279B3" w14:textId="77777777" w:rsidR="00655A4C" w:rsidRPr="00034A31" w:rsidRDefault="00655A4C" w:rsidP="00DD5CE3">
            <w:pPr>
              <w:spacing w:before="60" w:after="60" w:line="340" w:lineRule="exact"/>
              <w:jc w:val="center"/>
              <w:rPr>
                <w:b/>
                <w:bCs/>
                <w:color w:val="0000FF"/>
                <w:sz w:val="20"/>
                <w:szCs w:val="20"/>
              </w:rPr>
            </w:pPr>
            <w:r w:rsidRPr="00034A31">
              <w:rPr>
                <w:b/>
                <w:bCs/>
                <w:color w:val="0000FF"/>
                <w:sz w:val="20"/>
                <w:szCs w:val="20"/>
              </w:rPr>
              <w:t>TH 2025</w:t>
            </w:r>
          </w:p>
        </w:tc>
        <w:tc>
          <w:tcPr>
            <w:tcW w:w="540" w:type="pct"/>
            <w:vAlign w:val="center"/>
          </w:tcPr>
          <w:p w14:paraId="1283CC47" w14:textId="77777777" w:rsidR="00655A4C" w:rsidRPr="00034A31" w:rsidRDefault="00655A4C" w:rsidP="00DD5CE3">
            <w:pPr>
              <w:spacing w:before="60" w:after="60" w:line="340" w:lineRule="exact"/>
              <w:jc w:val="center"/>
              <w:rPr>
                <w:b/>
                <w:bCs/>
                <w:color w:val="0000FF"/>
                <w:sz w:val="20"/>
                <w:szCs w:val="20"/>
              </w:rPr>
            </w:pPr>
            <w:r w:rsidRPr="00034A31">
              <w:rPr>
                <w:b/>
                <w:bCs/>
                <w:color w:val="0000FF"/>
                <w:sz w:val="20"/>
                <w:szCs w:val="20"/>
              </w:rPr>
              <w:t>TH/KH2025 (%)</w:t>
            </w:r>
          </w:p>
        </w:tc>
        <w:tc>
          <w:tcPr>
            <w:tcW w:w="624" w:type="pct"/>
            <w:tcMar>
              <w:top w:w="0" w:type="dxa"/>
              <w:left w:w="108" w:type="dxa"/>
              <w:bottom w:w="0" w:type="dxa"/>
              <w:right w:w="108" w:type="dxa"/>
            </w:tcMar>
            <w:vAlign w:val="center"/>
            <w:hideMark/>
          </w:tcPr>
          <w:p w14:paraId="65408A32" w14:textId="77777777" w:rsidR="00655A4C" w:rsidRPr="00034A31" w:rsidRDefault="00655A4C" w:rsidP="00DD5CE3">
            <w:pPr>
              <w:spacing w:before="60" w:after="60" w:line="340" w:lineRule="exact"/>
              <w:ind w:left="-168" w:right="-16"/>
              <w:jc w:val="center"/>
              <w:rPr>
                <w:b/>
                <w:bCs/>
                <w:color w:val="0000FF"/>
                <w:sz w:val="20"/>
                <w:szCs w:val="20"/>
              </w:rPr>
            </w:pPr>
            <w:r w:rsidRPr="00034A31">
              <w:rPr>
                <w:b/>
                <w:bCs/>
                <w:color w:val="0000FF"/>
                <w:sz w:val="20"/>
                <w:szCs w:val="20"/>
              </w:rPr>
              <w:t>TH 2025</w:t>
            </w:r>
          </w:p>
          <w:p w14:paraId="78028829" w14:textId="77777777" w:rsidR="00655A4C" w:rsidRPr="00034A31" w:rsidRDefault="00655A4C" w:rsidP="00DD5CE3">
            <w:pPr>
              <w:spacing w:before="60" w:after="60" w:line="340" w:lineRule="exact"/>
              <w:ind w:left="-168" w:right="-16"/>
              <w:jc w:val="center"/>
              <w:rPr>
                <w:b/>
                <w:bCs/>
                <w:color w:val="0000FF"/>
                <w:sz w:val="20"/>
                <w:szCs w:val="20"/>
              </w:rPr>
            </w:pPr>
            <w:r w:rsidRPr="00034A31">
              <w:rPr>
                <w:b/>
                <w:bCs/>
                <w:color w:val="0000FF"/>
                <w:sz w:val="20"/>
                <w:szCs w:val="20"/>
              </w:rPr>
              <w:t>/TH2021 (%)</w:t>
            </w:r>
          </w:p>
        </w:tc>
      </w:tr>
      <w:tr w:rsidR="007B189E" w:rsidRPr="007B189E" w14:paraId="5759753F" w14:textId="77777777" w:rsidTr="004519E3">
        <w:trPr>
          <w:trHeight w:val="454"/>
        </w:trPr>
        <w:tc>
          <w:tcPr>
            <w:tcW w:w="253" w:type="pct"/>
            <w:vMerge w:val="restart"/>
            <w:tcMar>
              <w:top w:w="0" w:type="dxa"/>
              <w:left w:w="108" w:type="dxa"/>
              <w:bottom w:w="0" w:type="dxa"/>
              <w:right w:w="108" w:type="dxa"/>
            </w:tcMar>
            <w:vAlign w:val="center"/>
            <w:hideMark/>
          </w:tcPr>
          <w:p w14:paraId="59944211" w14:textId="77777777" w:rsidR="00655A4C" w:rsidRPr="00034A31" w:rsidRDefault="00655A4C" w:rsidP="00DD5CE3">
            <w:pPr>
              <w:spacing w:before="60" w:after="60" w:line="340" w:lineRule="exact"/>
              <w:jc w:val="center"/>
              <w:rPr>
                <w:b/>
                <w:bCs/>
                <w:color w:val="0000FF"/>
                <w:sz w:val="20"/>
                <w:szCs w:val="20"/>
              </w:rPr>
            </w:pPr>
            <w:r w:rsidRPr="00034A31">
              <w:rPr>
                <w:b/>
                <w:bCs/>
                <w:color w:val="0000FF"/>
                <w:sz w:val="20"/>
                <w:szCs w:val="20"/>
              </w:rPr>
              <w:t>1</w:t>
            </w:r>
          </w:p>
        </w:tc>
        <w:tc>
          <w:tcPr>
            <w:tcW w:w="883" w:type="pct"/>
            <w:tcMar>
              <w:top w:w="0" w:type="dxa"/>
              <w:left w:w="108" w:type="dxa"/>
              <w:bottom w:w="0" w:type="dxa"/>
              <w:right w:w="108" w:type="dxa"/>
            </w:tcMar>
            <w:vAlign w:val="center"/>
            <w:hideMark/>
          </w:tcPr>
          <w:p w14:paraId="27B77BD1" w14:textId="77777777" w:rsidR="00655A4C" w:rsidRPr="00034A31" w:rsidRDefault="00655A4C" w:rsidP="00DD5CE3">
            <w:pPr>
              <w:spacing w:before="60" w:after="60" w:line="340" w:lineRule="exact"/>
              <w:jc w:val="both"/>
              <w:rPr>
                <w:b/>
                <w:bCs/>
                <w:color w:val="0000FF"/>
                <w:sz w:val="20"/>
                <w:szCs w:val="20"/>
              </w:rPr>
            </w:pPr>
            <w:r w:rsidRPr="00034A31">
              <w:rPr>
                <w:b/>
                <w:bCs/>
                <w:color w:val="0000FF"/>
                <w:sz w:val="20"/>
                <w:szCs w:val="20"/>
              </w:rPr>
              <w:t>Sản lượng xăng dầu xuất bán toàn Tập đoàn (</w:t>
            </w:r>
            <w:r w:rsidRPr="00034A31">
              <w:rPr>
                <w:b/>
                <w:bCs/>
                <w:i/>
                <w:iCs/>
                <w:color w:val="0000FF"/>
                <w:sz w:val="20"/>
                <w:szCs w:val="20"/>
              </w:rPr>
              <w:t>m</w:t>
            </w:r>
            <w:r w:rsidRPr="00034A31">
              <w:rPr>
                <w:b/>
                <w:bCs/>
                <w:i/>
                <w:iCs/>
                <w:color w:val="0000FF"/>
                <w:sz w:val="20"/>
                <w:szCs w:val="20"/>
                <w:vertAlign w:val="superscript"/>
              </w:rPr>
              <w:t>3</w:t>
            </w:r>
            <w:r w:rsidRPr="00034A31">
              <w:rPr>
                <w:b/>
                <w:bCs/>
                <w:i/>
                <w:iCs/>
                <w:color w:val="0000FF"/>
                <w:sz w:val="20"/>
                <w:szCs w:val="20"/>
              </w:rPr>
              <w:t>, tấn</w:t>
            </w:r>
            <w:r w:rsidRPr="00034A31">
              <w:rPr>
                <w:b/>
                <w:bCs/>
                <w:color w:val="0000FF"/>
                <w:sz w:val="20"/>
                <w:szCs w:val="20"/>
              </w:rPr>
              <w:t>)</w:t>
            </w:r>
          </w:p>
        </w:tc>
        <w:tc>
          <w:tcPr>
            <w:tcW w:w="539" w:type="pct"/>
            <w:tcMar>
              <w:top w:w="0" w:type="dxa"/>
              <w:left w:w="108" w:type="dxa"/>
              <w:bottom w:w="0" w:type="dxa"/>
              <w:right w:w="108" w:type="dxa"/>
            </w:tcMar>
            <w:vAlign w:val="center"/>
          </w:tcPr>
          <w:p w14:paraId="4515BB25" w14:textId="77777777" w:rsidR="00655A4C" w:rsidRPr="00034A31" w:rsidRDefault="00655A4C" w:rsidP="00DD5CE3">
            <w:pPr>
              <w:spacing w:before="60" w:after="60" w:line="340" w:lineRule="exact"/>
              <w:jc w:val="right"/>
              <w:rPr>
                <w:b/>
                <w:color w:val="0000FF"/>
                <w:sz w:val="20"/>
                <w:szCs w:val="20"/>
              </w:rPr>
            </w:pPr>
            <w:r w:rsidRPr="00034A31">
              <w:rPr>
                <w:color w:val="0000FF"/>
                <w:sz w:val="20"/>
                <w:szCs w:val="20"/>
              </w:rPr>
              <w:t>12.377.569</w:t>
            </w:r>
          </w:p>
        </w:tc>
        <w:tc>
          <w:tcPr>
            <w:tcW w:w="540" w:type="pct"/>
            <w:vAlign w:val="center"/>
          </w:tcPr>
          <w:p w14:paraId="6DB95973" w14:textId="77777777" w:rsidR="00655A4C" w:rsidRPr="00034A31" w:rsidRDefault="00655A4C" w:rsidP="00DD5CE3">
            <w:pPr>
              <w:spacing w:before="60" w:after="60" w:line="340" w:lineRule="exact"/>
              <w:ind w:right="116"/>
              <w:jc w:val="right"/>
              <w:rPr>
                <w:b/>
                <w:bCs/>
                <w:color w:val="0000FF"/>
                <w:sz w:val="20"/>
                <w:szCs w:val="20"/>
              </w:rPr>
            </w:pPr>
            <w:r w:rsidRPr="00034A31">
              <w:rPr>
                <w:color w:val="0000FF"/>
                <w:sz w:val="20"/>
                <w:szCs w:val="20"/>
              </w:rPr>
              <w:t>13.861.414</w:t>
            </w:r>
          </w:p>
        </w:tc>
        <w:tc>
          <w:tcPr>
            <w:tcW w:w="540" w:type="pct"/>
            <w:vAlign w:val="center"/>
          </w:tcPr>
          <w:p w14:paraId="7AA976E7" w14:textId="77777777" w:rsidR="00655A4C" w:rsidRPr="00034A31" w:rsidRDefault="00655A4C" w:rsidP="00DD5CE3">
            <w:pPr>
              <w:spacing w:before="60" w:after="60" w:line="340" w:lineRule="exact"/>
              <w:ind w:right="116"/>
              <w:jc w:val="right"/>
              <w:rPr>
                <w:color w:val="0000FF"/>
                <w:sz w:val="20"/>
                <w:szCs w:val="20"/>
              </w:rPr>
            </w:pPr>
            <w:r w:rsidRPr="00034A31">
              <w:rPr>
                <w:color w:val="0000FF"/>
                <w:sz w:val="20"/>
                <w:szCs w:val="20"/>
              </w:rPr>
              <w:t>14.422.988</w:t>
            </w:r>
          </w:p>
        </w:tc>
        <w:tc>
          <w:tcPr>
            <w:tcW w:w="540" w:type="pct"/>
            <w:vAlign w:val="center"/>
          </w:tcPr>
          <w:p w14:paraId="52436BEF" w14:textId="77777777" w:rsidR="00655A4C" w:rsidRPr="00034A31" w:rsidRDefault="00655A4C" w:rsidP="00DD5CE3">
            <w:pPr>
              <w:spacing w:before="60" w:after="60" w:line="340" w:lineRule="exact"/>
              <w:ind w:right="116"/>
              <w:jc w:val="right"/>
              <w:rPr>
                <w:color w:val="0000FF"/>
                <w:sz w:val="20"/>
                <w:szCs w:val="20"/>
              </w:rPr>
            </w:pPr>
            <w:r w:rsidRPr="00034A31">
              <w:rPr>
                <w:color w:val="0000FF"/>
                <w:sz w:val="20"/>
                <w:szCs w:val="20"/>
              </w:rPr>
              <w:t>15.747.663</w:t>
            </w:r>
          </w:p>
        </w:tc>
        <w:tc>
          <w:tcPr>
            <w:tcW w:w="540" w:type="pct"/>
            <w:tcMar>
              <w:top w:w="0" w:type="dxa"/>
              <w:left w:w="108" w:type="dxa"/>
              <w:bottom w:w="0" w:type="dxa"/>
              <w:right w:w="108" w:type="dxa"/>
            </w:tcMar>
            <w:vAlign w:val="center"/>
          </w:tcPr>
          <w:p w14:paraId="7F909EF0" w14:textId="15FC30AE" w:rsidR="00655A4C" w:rsidRPr="00034A31" w:rsidRDefault="00655A4C" w:rsidP="00DD5CE3">
            <w:pPr>
              <w:spacing w:before="60" w:after="60" w:line="340" w:lineRule="exact"/>
              <w:jc w:val="right"/>
              <w:rPr>
                <w:b/>
                <w:bCs/>
                <w:color w:val="0000FF"/>
                <w:sz w:val="20"/>
                <w:szCs w:val="20"/>
              </w:rPr>
            </w:pPr>
            <w:r w:rsidRPr="00034A31">
              <w:rPr>
                <w:color w:val="0000FF"/>
                <w:sz w:val="20"/>
                <w:szCs w:val="20"/>
              </w:rPr>
              <w:t>17.7</w:t>
            </w:r>
            <w:r w:rsidR="002A1FBA" w:rsidRPr="00034A31">
              <w:rPr>
                <w:color w:val="0000FF"/>
                <w:sz w:val="20"/>
                <w:szCs w:val="20"/>
              </w:rPr>
              <w:t>0</w:t>
            </w:r>
            <w:r w:rsidRPr="00034A31">
              <w:rPr>
                <w:color w:val="0000FF"/>
                <w:sz w:val="20"/>
                <w:szCs w:val="20"/>
              </w:rPr>
              <w:t>5.</w:t>
            </w:r>
            <w:r w:rsidR="002A1FBA" w:rsidRPr="00034A31">
              <w:rPr>
                <w:color w:val="0000FF"/>
                <w:sz w:val="20"/>
                <w:szCs w:val="20"/>
              </w:rPr>
              <w:t>01</w:t>
            </w:r>
            <w:r w:rsidRPr="00034A31">
              <w:rPr>
                <w:color w:val="0000FF"/>
                <w:sz w:val="20"/>
                <w:szCs w:val="20"/>
              </w:rPr>
              <w:t>0</w:t>
            </w:r>
          </w:p>
        </w:tc>
        <w:tc>
          <w:tcPr>
            <w:tcW w:w="540" w:type="pct"/>
            <w:vAlign w:val="center"/>
          </w:tcPr>
          <w:p w14:paraId="6A2E6BB3" w14:textId="7E6B9494" w:rsidR="00655A4C" w:rsidRPr="00034A31" w:rsidRDefault="00655A4C" w:rsidP="00DD5CE3">
            <w:pPr>
              <w:spacing w:before="60" w:after="60" w:line="340" w:lineRule="exact"/>
              <w:ind w:right="116"/>
              <w:jc w:val="right"/>
              <w:rPr>
                <w:color w:val="0000FF"/>
                <w:sz w:val="20"/>
                <w:szCs w:val="20"/>
              </w:rPr>
            </w:pPr>
            <w:r w:rsidRPr="00034A31">
              <w:rPr>
                <w:color w:val="0000FF"/>
                <w:sz w:val="20"/>
                <w:szCs w:val="20"/>
              </w:rPr>
              <w:t>102,</w:t>
            </w:r>
            <w:r w:rsidR="002A1FBA" w:rsidRPr="00034A31">
              <w:rPr>
                <w:color w:val="0000FF"/>
                <w:sz w:val="20"/>
                <w:szCs w:val="20"/>
              </w:rPr>
              <w:t>2</w:t>
            </w:r>
            <w:r w:rsidRPr="00034A31">
              <w:rPr>
                <w:color w:val="0000FF"/>
                <w:sz w:val="20"/>
                <w:szCs w:val="20"/>
              </w:rPr>
              <w:t>%</w:t>
            </w:r>
          </w:p>
        </w:tc>
        <w:tc>
          <w:tcPr>
            <w:tcW w:w="624" w:type="pct"/>
            <w:tcMar>
              <w:top w:w="0" w:type="dxa"/>
              <w:left w:w="108" w:type="dxa"/>
              <w:bottom w:w="0" w:type="dxa"/>
              <w:right w:w="108" w:type="dxa"/>
            </w:tcMar>
            <w:vAlign w:val="center"/>
          </w:tcPr>
          <w:p w14:paraId="11E69E74" w14:textId="1FE0546A" w:rsidR="00655A4C" w:rsidRPr="00034A31" w:rsidRDefault="00655A4C" w:rsidP="00DD5CE3">
            <w:pPr>
              <w:spacing w:before="60" w:after="60" w:line="340" w:lineRule="exact"/>
              <w:jc w:val="right"/>
              <w:rPr>
                <w:b/>
                <w:bCs/>
                <w:color w:val="0000FF"/>
                <w:sz w:val="20"/>
                <w:szCs w:val="20"/>
              </w:rPr>
            </w:pPr>
            <w:r w:rsidRPr="00034A31">
              <w:rPr>
                <w:color w:val="0000FF"/>
                <w:sz w:val="20"/>
                <w:szCs w:val="20"/>
              </w:rPr>
              <w:t>14</w:t>
            </w:r>
            <w:r w:rsidR="0067084B" w:rsidRPr="00034A31">
              <w:rPr>
                <w:color w:val="0000FF"/>
                <w:sz w:val="20"/>
                <w:szCs w:val="20"/>
              </w:rPr>
              <w:t>3</w:t>
            </w:r>
            <w:r w:rsidRPr="00034A31">
              <w:rPr>
                <w:color w:val="0000FF"/>
                <w:sz w:val="20"/>
                <w:szCs w:val="20"/>
              </w:rPr>
              <w:t>,</w:t>
            </w:r>
            <w:r w:rsidR="0067084B" w:rsidRPr="00034A31">
              <w:rPr>
                <w:color w:val="0000FF"/>
                <w:sz w:val="20"/>
                <w:szCs w:val="20"/>
              </w:rPr>
              <w:t>04</w:t>
            </w:r>
            <w:r w:rsidRPr="00034A31">
              <w:rPr>
                <w:color w:val="0000FF"/>
                <w:sz w:val="20"/>
                <w:szCs w:val="20"/>
              </w:rPr>
              <w:t>%</w:t>
            </w:r>
          </w:p>
        </w:tc>
      </w:tr>
      <w:tr w:rsidR="007B189E" w:rsidRPr="007B189E" w14:paraId="74716B1E" w14:textId="77777777" w:rsidTr="004519E3">
        <w:trPr>
          <w:trHeight w:val="273"/>
        </w:trPr>
        <w:tc>
          <w:tcPr>
            <w:tcW w:w="253" w:type="pct"/>
            <w:vMerge/>
            <w:tcMar>
              <w:top w:w="0" w:type="dxa"/>
              <w:left w:w="108" w:type="dxa"/>
              <w:bottom w:w="0" w:type="dxa"/>
              <w:right w:w="108" w:type="dxa"/>
            </w:tcMar>
            <w:vAlign w:val="center"/>
          </w:tcPr>
          <w:p w14:paraId="1DF3D911" w14:textId="77777777" w:rsidR="00655A4C" w:rsidRPr="00034A31" w:rsidRDefault="00655A4C" w:rsidP="00DD5CE3">
            <w:pPr>
              <w:spacing w:before="60" w:after="60" w:line="340" w:lineRule="exact"/>
              <w:jc w:val="center"/>
              <w:rPr>
                <w:b/>
                <w:bCs/>
                <w:color w:val="0000FF"/>
                <w:sz w:val="20"/>
                <w:szCs w:val="20"/>
              </w:rPr>
            </w:pPr>
          </w:p>
        </w:tc>
        <w:tc>
          <w:tcPr>
            <w:tcW w:w="883" w:type="pct"/>
            <w:tcMar>
              <w:top w:w="0" w:type="dxa"/>
              <w:left w:w="108" w:type="dxa"/>
              <w:bottom w:w="0" w:type="dxa"/>
              <w:right w:w="108" w:type="dxa"/>
            </w:tcMar>
            <w:vAlign w:val="center"/>
          </w:tcPr>
          <w:p w14:paraId="2EDB1939" w14:textId="77777777" w:rsidR="00655A4C" w:rsidRPr="00034A31" w:rsidRDefault="00655A4C" w:rsidP="00DD5CE3">
            <w:pPr>
              <w:spacing w:before="60" w:after="60" w:line="340" w:lineRule="exact"/>
              <w:jc w:val="both"/>
              <w:rPr>
                <w:bCs/>
                <w:i/>
                <w:color w:val="0000FF"/>
                <w:sz w:val="20"/>
                <w:szCs w:val="20"/>
              </w:rPr>
            </w:pPr>
            <w:r w:rsidRPr="00034A31">
              <w:rPr>
                <w:bCs/>
                <w:i/>
                <w:color w:val="0000FF"/>
                <w:sz w:val="20"/>
                <w:szCs w:val="20"/>
              </w:rPr>
              <w:t>Trong đó Công ty mẹ</w:t>
            </w:r>
          </w:p>
        </w:tc>
        <w:tc>
          <w:tcPr>
            <w:tcW w:w="539" w:type="pct"/>
            <w:tcMar>
              <w:top w:w="0" w:type="dxa"/>
              <w:left w:w="108" w:type="dxa"/>
              <w:bottom w:w="0" w:type="dxa"/>
              <w:right w:w="108" w:type="dxa"/>
            </w:tcMar>
            <w:vAlign w:val="center"/>
          </w:tcPr>
          <w:p w14:paraId="26637474" w14:textId="77777777" w:rsidR="00655A4C" w:rsidRPr="00034A31" w:rsidRDefault="00655A4C" w:rsidP="00DD5CE3">
            <w:pPr>
              <w:spacing w:before="60" w:after="60" w:line="340" w:lineRule="exact"/>
              <w:jc w:val="right"/>
              <w:rPr>
                <w:bCs/>
                <w:color w:val="0000FF"/>
                <w:sz w:val="20"/>
                <w:szCs w:val="20"/>
              </w:rPr>
            </w:pPr>
            <w:r w:rsidRPr="00034A31">
              <w:rPr>
                <w:color w:val="0000FF"/>
                <w:sz w:val="20"/>
                <w:szCs w:val="20"/>
              </w:rPr>
              <w:t>9.135.595</w:t>
            </w:r>
          </w:p>
        </w:tc>
        <w:tc>
          <w:tcPr>
            <w:tcW w:w="540" w:type="pct"/>
            <w:vAlign w:val="center"/>
          </w:tcPr>
          <w:p w14:paraId="50774A53" w14:textId="77777777" w:rsidR="00655A4C" w:rsidRPr="00034A31" w:rsidRDefault="00655A4C" w:rsidP="00DD5CE3">
            <w:pPr>
              <w:spacing w:before="60" w:after="60" w:line="340" w:lineRule="exact"/>
              <w:ind w:right="116"/>
              <w:jc w:val="right"/>
              <w:rPr>
                <w:color w:val="0000FF"/>
                <w:sz w:val="20"/>
                <w:szCs w:val="20"/>
              </w:rPr>
            </w:pPr>
            <w:r w:rsidRPr="00034A31">
              <w:rPr>
                <w:color w:val="0000FF"/>
                <w:sz w:val="20"/>
                <w:szCs w:val="20"/>
              </w:rPr>
              <w:t>11.061.549</w:t>
            </w:r>
          </w:p>
        </w:tc>
        <w:tc>
          <w:tcPr>
            <w:tcW w:w="540" w:type="pct"/>
            <w:vAlign w:val="center"/>
          </w:tcPr>
          <w:p w14:paraId="0B6B373C" w14:textId="77777777" w:rsidR="00655A4C" w:rsidRPr="00034A31" w:rsidRDefault="00655A4C" w:rsidP="00DD5CE3">
            <w:pPr>
              <w:spacing w:before="60" w:after="60" w:line="340" w:lineRule="exact"/>
              <w:ind w:right="116"/>
              <w:jc w:val="right"/>
              <w:rPr>
                <w:color w:val="0000FF"/>
                <w:sz w:val="20"/>
                <w:szCs w:val="20"/>
              </w:rPr>
            </w:pPr>
            <w:r w:rsidRPr="00034A31">
              <w:rPr>
                <w:color w:val="0000FF"/>
                <w:sz w:val="20"/>
                <w:szCs w:val="20"/>
              </w:rPr>
              <w:t>10.613.538</w:t>
            </w:r>
          </w:p>
        </w:tc>
        <w:tc>
          <w:tcPr>
            <w:tcW w:w="540" w:type="pct"/>
            <w:vAlign w:val="center"/>
          </w:tcPr>
          <w:p w14:paraId="2B32AD8C" w14:textId="77777777" w:rsidR="00655A4C" w:rsidRPr="00034A31" w:rsidRDefault="00655A4C" w:rsidP="00DD5CE3">
            <w:pPr>
              <w:spacing w:before="60" w:after="60" w:line="340" w:lineRule="exact"/>
              <w:ind w:right="116"/>
              <w:jc w:val="right"/>
              <w:rPr>
                <w:color w:val="0000FF"/>
                <w:sz w:val="20"/>
                <w:szCs w:val="20"/>
              </w:rPr>
            </w:pPr>
            <w:r w:rsidRPr="00034A31">
              <w:rPr>
                <w:color w:val="0000FF"/>
                <w:sz w:val="20"/>
                <w:szCs w:val="20"/>
              </w:rPr>
              <w:t>10.958.903</w:t>
            </w:r>
          </w:p>
        </w:tc>
        <w:tc>
          <w:tcPr>
            <w:tcW w:w="540" w:type="pct"/>
            <w:tcMar>
              <w:top w:w="0" w:type="dxa"/>
              <w:left w:w="108" w:type="dxa"/>
              <w:bottom w:w="0" w:type="dxa"/>
              <w:right w:w="108" w:type="dxa"/>
            </w:tcMar>
            <w:vAlign w:val="center"/>
          </w:tcPr>
          <w:p w14:paraId="5238A8E7" w14:textId="2A75578F" w:rsidR="00655A4C" w:rsidRPr="00034A31" w:rsidRDefault="00655A4C" w:rsidP="00DD5CE3">
            <w:pPr>
              <w:spacing w:before="60" w:after="60" w:line="340" w:lineRule="exact"/>
              <w:jc w:val="right"/>
              <w:rPr>
                <w:color w:val="0000FF"/>
                <w:sz w:val="20"/>
                <w:szCs w:val="20"/>
              </w:rPr>
            </w:pPr>
            <w:r w:rsidRPr="00034A31">
              <w:rPr>
                <w:color w:val="0000FF"/>
                <w:sz w:val="20"/>
                <w:szCs w:val="20"/>
              </w:rPr>
              <w:t>11.913.</w:t>
            </w:r>
            <w:r w:rsidR="002A1FBA" w:rsidRPr="00034A31">
              <w:rPr>
                <w:color w:val="0000FF"/>
                <w:sz w:val="20"/>
                <w:szCs w:val="20"/>
              </w:rPr>
              <w:t>64</w:t>
            </w:r>
            <w:r w:rsidRPr="00034A31">
              <w:rPr>
                <w:color w:val="0000FF"/>
                <w:sz w:val="20"/>
                <w:szCs w:val="20"/>
              </w:rPr>
              <w:t>5</w:t>
            </w:r>
          </w:p>
        </w:tc>
        <w:tc>
          <w:tcPr>
            <w:tcW w:w="540" w:type="pct"/>
            <w:vAlign w:val="center"/>
          </w:tcPr>
          <w:p w14:paraId="62B485F9" w14:textId="77777777" w:rsidR="00655A4C" w:rsidRPr="00034A31" w:rsidRDefault="00655A4C" w:rsidP="00DD5CE3">
            <w:pPr>
              <w:spacing w:before="60" w:after="60" w:line="340" w:lineRule="exact"/>
              <w:ind w:right="116"/>
              <w:jc w:val="right"/>
              <w:rPr>
                <w:color w:val="0000FF"/>
                <w:sz w:val="20"/>
                <w:szCs w:val="20"/>
              </w:rPr>
            </w:pPr>
            <w:r w:rsidRPr="00034A31">
              <w:rPr>
                <w:color w:val="0000FF"/>
                <w:sz w:val="20"/>
                <w:szCs w:val="20"/>
              </w:rPr>
              <w:t>100,4%</w:t>
            </w:r>
          </w:p>
        </w:tc>
        <w:tc>
          <w:tcPr>
            <w:tcW w:w="624" w:type="pct"/>
            <w:tcMar>
              <w:top w:w="0" w:type="dxa"/>
              <w:left w:w="108" w:type="dxa"/>
              <w:bottom w:w="0" w:type="dxa"/>
              <w:right w:w="108" w:type="dxa"/>
            </w:tcMar>
            <w:vAlign w:val="center"/>
          </w:tcPr>
          <w:p w14:paraId="42849C6A" w14:textId="77777777" w:rsidR="00655A4C" w:rsidRPr="00034A31" w:rsidRDefault="00655A4C" w:rsidP="00DD5CE3">
            <w:pPr>
              <w:spacing w:before="60" w:after="60" w:line="340" w:lineRule="exact"/>
              <w:jc w:val="right"/>
              <w:rPr>
                <w:color w:val="0000FF"/>
                <w:sz w:val="20"/>
                <w:szCs w:val="20"/>
              </w:rPr>
            </w:pPr>
            <w:r w:rsidRPr="00034A31">
              <w:rPr>
                <w:color w:val="0000FF"/>
                <w:sz w:val="20"/>
                <w:szCs w:val="20"/>
              </w:rPr>
              <w:t>130,4%</w:t>
            </w:r>
          </w:p>
        </w:tc>
      </w:tr>
      <w:tr w:rsidR="007B189E" w:rsidRPr="007B189E" w14:paraId="1F096B95" w14:textId="77777777" w:rsidTr="004519E3">
        <w:trPr>
          <w:trHeight w:val="546"/>
        </w:trPr>
        <w:tc>
          <w:tcPr>
            <w:tcW w:w="253" w:type="pct"/>
            <w:vMerge w:val="restart"/>
            <w:tcMar>
              <w:top w:w="0" w:type="dxa"/>
              <w:left w:w="108" w:type="dxa"/>
              <w:bottom w:w="0" w:type="dxa"/>
              <w:right w:w="108" w:type="dxa"/>
            </w:tcMar>
            <w:vAlign w:val="center"/>
            <w:hideMark/>
          </w:tcPr>
          <w:p w14:paraId="3E274B38" w14:textId="77777777" w:rsidR="00655A4C" w:rsidRPr="00034A31" w:rsidRDefault="00655A4C" w:rsidP="00DD5CE3">
            <w:pPr>
              <w:spacing w:before="60" w:after="60" w:line="340" w:lineRule="exact"/>
              <w:jc w:val="center"/>
              <w:rPr>
                <w:b/>
                <w:bCs/>
                <w:color w:val="0000FF"/>
                <w:sz w:val="20"/>
                <w:szCs w:val="20"/>
              </w:rPr>
            </w:pPr>
            <w:r w:rsidRPr="00034A31">
              <w:rPr>
                <w:b/>
                <w:bCs/>
                <w:color w:val="0000FF"/>
                <w:sz w:val="20"/>
                <w:szCs w:val="20"/>
              </w:rPr>
              <w:t>2</w:t>
            </w:r>
          </w:p>
          <w:p w14:paraId="047D7DC9" w14:textId="77777777" w:rsidR="00655A4C" w:rsidRPr="00034A31" w:rsidRDefault="00655A4C" w:rsidP="00DD5CE3">
            <w:pPr>
              <w:spacing w:before="60" w:after="60" w:line="340" w:lineRule="exact"/>
              <w:jc w:val="center"/>
              <w:rPr>
                <w:b/>
                <w:bCs/>
                <w:color w:val="0000FF"/>
                <w:sz w:val="20"/>
                <w:szCs w:val="20"/>
              </w:rPr>
            </w:pPr>
          </w:p>
        </w:tc>
        <w:tc>
          <w:tcPr>
            <w:tcW w:w="883" w:type="pct"/>
            <w:tcMar>
              <w:top w:w="0" w:type="dxa"/>
              <w:left w:w="108" w:type="dxa"/>
              <w:bottom w:w="0" w:type="dxa"/>
              <w:right w:w="108" w:type="dxa"/>
            </w:tcMar>
            <w:vAlign w:val="center"/>
            <w:hideMark/>
          </w:tcPr>
          <w:p w14:paraId="5D4F44B6" w14:textId="77777777" w:rsidR="00655A4C" w:rsidRPr="00034A31" w:rsidRDefault="00655A4C" w:rsidP="00DD5CE3">
            <w:pPr>
              <w:spacing w:before="60" w:after="60" w:line="340" w:lineRule="exact"/>
              <w:jc w:val="both"/>
              <w:rPr>
                <w:b/>
                <w:bCs/>
                <w:color w:val="0000FF"/>
                <w:sz w:val="20"/>
                <w:szCs w:val="20"/>
              </w:rPr>
            </w:pPr>
            <w:r w:rsidRPr="00034A31">
              <w:rPr>
                <w:b/>
                <w:bCs/>
                <w:color w:val="0000FF"/>
                <w:sz w:val="20"/>
                <w:szCs w:val="20"/>
              </w:rPr>
              <w:t>Doanh thu hợp nhất toàn Tập đoàn (</w:t>
            </w:r>
            <w:r w:rsidRPr="00034A31">
              <w:rPr>
                <w:b/>
                <w:bCs/>
                <w:i/>
                <w:iCs/>
                <w:color w:val="0000FF"/>
                <w:sz w:val="20"/>
                <w:szCs w:val="20"/>
              </w:rPr>
              <w:t>tỷ đồng</w:t>
            </w:r>
            <w:r w:rsidRPr="00034A31">
              <w:rPr>
                <w:b/>
                <w:bCs/>
                <w:color w:val="0000FF"/>
                <w:sz w:val="20"/>
                <w:szCs w:val="20"/>
              </w:rPr>
              <w:t>)</w:t>
            </w:r>
          </w:p>
        </w:tc>
        <w:tc>
          <w:tcPr>
            <w:tcW w:w="539" w:type="pct"/>
            <w:tcMar>
              <w:top w:w="0" w:type="dxa"/>
              <w:left w:w="108" w:type="dxa"/>
              <w:bottom w:w="0" w:type="dxa"/>
              <w:right w:w="108" w:type="dxa"/>
            </w:tcMar>
            <w:vAlign w:val="center"/>
          </w:tcPr>
          <w:p w14:paraId="450BD8E7" w14:textId="77777777" w:rsidR="00655A4C" w:rsidRPr="00034A31" w:rsidRDefault="00655A4C" w:rsidP="00DD5CE3">
            <w:pPr>
              <w:spacing w:before="60" w:after="60" w:line="340" w:lineRule="exact"/>
              <w:jc w:val="right"/>
              <w:rPr>
                <w:bCs/>
                <w:color w:val="0000FF"/>
                <w:sz w:val="20"/>
                <w:szCs w:val="20"/>
              </w:rPr>
            </w:pPr>
            <w:r w:rsidRPr="00034A31">
              <w:rPr>
                <w:color w:val="0000FF"/>
                <w:sz w:val="20"/>
                <w:szCs w:val="20"/>
              </w:rPr>
              <w:t>169.009</w:t>
            </w:r>
          </w:p>
        </w:tc>
        <w:tc>
          <w:tcPr>
            <w:tcW w:w="540" w:type="pct"/>
            <w:vAlign w:val="center"/>
          </w:tcPr>
          <w:p w14:paraId="728CE723" w14:textId="77777777" w:rsidR="00655A4C" w:rsidRPr="00034A31" w:rsidRDefault="00655A4C" w:rsidP="00DD5CE3">
            <w:pPr>
              <w:spacing w:before="60" w:after="60" w:line="340" w:lineRule="exact"/>
              <w:ind w:right="116"/>
              <w:jc w:val="right"/>
              <w:rPr>
                <w:color w:val="0000FF"/>
                <w:sz w:val="20"/>
                <w:szCs w:val="20"/>
              </w:rPr>
            </w:pPr>
            <w:r w:rsidRPr="00034A31">
              <w:rPr>
                <w:color w:val="0000FF"/>
                <w:sz w:val="20"/>
                <w:szCs w:val="20"/>
              </w:rPr>
              <w:t>304.064</w:t>
            </w:r>
          </w:p>
        </w:tc>
        <w:tc>
          <w:tcPr>
            <w:tcW w:w="540" w:type="pct"/>
            <w:vAlign w:val="center"/>
          </w:tcPr>
          <w:p w14:paraId="228C2606" w14:textId="77777777" w:rsidR="00655A4C" w:rsidRPr="00034A31" w:rsidRDefault="00655A4C" w:rsidP="00DD5CE3">
            <w:pPr>
              <w:spacing w:before="60" w:after="60" w:line="340" w:lineRule="exact"/>
              <w:ind w:right="116"/>
              <w:jc w:val="right"/>
              <w:rPr>
                <w:color w:val="0000FF"/>
                <w:sz w:val="20"/>
                <w:szCs w:val="20"/>
              </w:rPr>
            </w:pPr>
            <w:r w:rsidRPr="00034A31">
              <w:rPr>
                <w:color w:val="0000FF"/>
                <w:sz w:val="20"/>
                <w:szCs w:val="20"/>
              </w:rPr>
              <w:t>273.979</w:t>
            </w:r>
          </w:p>
        </w:tc>
        <w:tc>
          <w:tcPr>
            <w:tcW w:w="540" w:type="pct"/>
            <w:vAlign w:val="center"/>
          </w:tcPr>
          <w:p w14:paraId="759B74D7" w14:textId="77777777" w:rsidR="00655A4C" w:rsidRPr="00034A31" w:rsidRDefault="00655A4C" w:rsidP="00DD5CE3">
            <w:pPr>
              <w:spacing w:before="60" w:after="60" w:line="340" w:lineRule="exact"/>
              <w:ind w:right="116"/>
              <w:jc w:val="right"/>
              <w:rPr>
                <w:color w:val="0000FF"/>
                <w:sz w:val="20"/>
                <w:szCs w:val="20"/>
              </w:rPr>
            </w:pPr>
            <w:r w:rsidRPr="00034A31">
              <w:rPr>
                <w:color w:val="0000FF"/>
                <w:sz w:val="20"/>
                <w:szCs w:val="20"/>
              </w:rPr>
              <w:t>284.017</w:t>
            </w:r>
          </w:p>
        </w:tc>
        <w:tc>
          <w:tcPr>
            <w:tcW w:w="540" w:type="pct"/>
            <w:tcMar>
              <w:top w:w="0" w:type="dxa"/>
              <w:left w:w="108" w:type="dxa"/>
              <w:bottom w:w="0" w:type="dxa"/>
              <w:right w:w="108" w:type="dxa"/>
            </w:tcMar>
            <w:vAlign w:val="center"/>
          </w:tcPr>
          <w:p w14:paraId="67DE52F1" w14:textId="6180304C" w:rsidR="00655A4C" w:rsidRPr="00034A31" w:rsidRDefault="009B2F12" w:rsidP="00DD5CE3">
            <w:pPr>
              <w:spacing w:before="60" w:after="60" w:line="340" w:lineRule="exact"/>
              <w:jc w:val="right"/>
              <w:rPr>
                <w:color w:val="0000FF"/>
                <w:sz w:val="20"/>
                <w:szCs w:val="20"/>
              </w:rPr>
            </w:pPr>
            <w:r w:rsidRPr="00034A31">
              <w:rPr>
                <w:color w:val="0000FF"/>
                <w:sz w:val="20"/>
                <w:szCs w:val="20"/>
              </w:rPr>
              <w:t>309.875</w:t>
            </w:r>
          </w:p>
        </w:tc>
        <w:tc>
          <w:tcPr>
            <w:tcW w:w="540" w:type="pct"/>
            <w:vAlign w:val="center"/>
          </w:tcPr>
          <w:p w14:paraId="5720C4B0" w14:textId="77777777" w:rsidR="00655A4C" w:rsidRPr="00034A31" w:rsidRDefault="00655A4C" w:rsidP="00DD5CE3">
            <w:pPr>
              <w:spacing w:before="60" w:after="60" w:line="340" w:lineRule="exact"/>
              <w:ind w:right="116"/>
              <w:jc w:val="right"/>
              <w:rPr>
                <w:color w:val="0000FF"/>
                <w:sz w:val="20"/>
                <w:szCs w:val="20"/>
              </w:rPr>
            </w:pPr>
            <w:r w:rsidRPr="00034A31">
              <w:rPr>
                <w:color w:val="0000FF"/>
                <w:sz w:val="20"/>
                <w:szCs w:val="20"/>
              </w:rPr>
              <w:t>125%</w:t>
            </w:r>
          </w:p>
        </w:tc>
        <w:tc>
          <w:tcPr>
            <w:tcW w:w="624" w:type="pct"/>
            <w:tcMar>
              <w:top w:w="0" w:type="dxa"/>
              <w:left w:w="108" w:type="dxa"/>
              <w:bottom w:w="0" w:type="dxa"/>
              <w:right w:w="108" w:type="dxa"/>
            </w:tcMar>
            <w:vAlign w:val="center"/>
          </w:tcPr>
          <w:p w14:paraId="1F266550" w14:textId="77777777" w:rsidR="00655A4C" w:rsidRPr="00034A31" w:rsidRDefault="00655A4C" w:rsidP="00DD5CE3">
            <w:pPr>
              <w:spacing w:before="60" w:after="60" w:line="340" w:lineRule="exact"/>
              <w:jc w:val="right"/>
              <w:rPr>
                <w:color w:val="0000FF"/>
                <w:sz w:val="20"/>
                <w:szCs w:val="20"/>
              </w:rPr>
            </w:pPr>
            <w:r w:rsidRPr="00034A31">
              <w:rPr>
                <w:color w:val="0000FF"/>
                <w:sz w:val="20"/>
                <w:szCs w:val="20"/>
              </w:rPr>
              <w:t>183%</w:t>
            </w:r>
          </w:p>
        </w:tc>
      </w:tr>
      <w:tr w:rsidR="007B189E" w:rsidRPr="007B189E" w14:paraId="13E5C123" w14:textId="77777777" w:rsidTr="004519E3">
        <w:trPr>
          <w:trHeight w:val="132"/>
        </w:trPr>
        <w:tc>
          <w:tcPr>
            <w:tcW w:w="253" w:type="pct"/>
            <w:vMerge/>
            <w:tcMar>
              <w:top w:w="0" w:type="dxa"/>
              <w:left w:w="108" w:type="dxa"/>
              <w:bottom w:w="0" w:type="dxa"/>
              <w:right w:w="108" w:type="dxa"/>
            </w:tcMar>
            <w:vAlign w:val="center"/>
            <w:hideMark/>
          </w:tcPr>
          <w:p w14:paraId="4770EB7A" w14:textId="77777777" w:rsidR="00655A4C" w:rsidRPr="00034A31" w:rsidRDefault="00655A4C" w:rsidP="00DD5CE3">
            <w:pPr>
              <w:spacing w:before="60" w:after="60" w:line="340" w:lineRule="exact"/>
              <w:jc w:val="center"/>
              <w:rPr>
                <w:color w:val="0000FF"/>
                <w:sz w:val="20"/>
                <w:szCs w:val="20"/>
              </w:rPr>
            </w:pPr>
          </w:p>
        </w:tc>
        <w:tc>
          <w:tcPr>
            <w:tcW w:w="883" w:type="pct"/>
            <w:tcMar>
              <w:top w:w="0" w:type="dxa"/>
              <w:left w:w="108" w:type="dxa"/>
              <w:bottom w:w="0" w:type="dxa"/>
              <w:right w:w="108" w:type="dxa"/>
            </w:tcMar>
            <w:vAlign w:val="center"/>
            <w:hideMark/>
          </w:tcPr>
          <w:p w14:paraId="52067193" w14:textId="77777777" w:rsidR="00655A4C" w:rsidRPr="00034A31" w:rsidRDefault="00655A4C" w:rsidP="00DD5CE3">
            <w:pPr>
              <w:spacing w:before="60" w:after="60" w:line="340" w:lineRule="exact"/>
              <w:jc w:val="both"/>
              <w:rPr>
                <w:i/>
                <w:iCs/>
                <w:color w:val="0000FF"/>
                <w:sz w:val="20"/>
                <w:szCs w:val="20"/>
              </w:rPr>
            </w:pPr>
            <w:r w:rsidRPr="00034A31">
              <w:rPr>
                <w:i/>
                <w:iCs/>
                <w:color w:val="0000FF"/>
                <w:sz w:val="20"/>
                <w:szCs w:val="20"/>
              </w:rPr>
              <w:t>Trong đó Công ty mẹ</w:t>
            </w:r>
          </w:p>
        </w:tc>
        <w:tc>
          <w:tcPr>
            <w:tcW w:w="539" w:type="pct"/>
            <w:tcMar>
              <w:top w:w="0" w:type="dxa"/>
              <w:left w:w="108" w:type="dxa"/>
              <w:bottom w:w="0" w:type="dxa"/>
              <w:right w:w="108" w:type="dxa"/>
            </w:tcMar>
            <w:vAlign w:val="center"/>
          </w:tcPr>
          <w:p w14:paraId="5C3FEE77" w14:textId="77777777" w:rsidR="00655A4C" w:rsidRPr="00034A31" w:rsidRDefault="00655A4C" w:rsidP="00DD5CE3">
            <w:pPr>
              <w:spacing w:before="60" w:after="60" w:line="340" w:lineRule="exact"/>
              <w:jc w:val="right"/>
              <w:rPr>
                <w:bCs/>
                <w:color w:val="0000FF"/>
                <w:sz w:val="20"/>
                <w:szCs w:val="20"/>
              </w:rPr>
            </w:pPr>
            <w:r w:rsidRPr="00034A31">
              <w:rPr>
                <w:color w:val="0000FF"/>
                <w:sz w:val="20"/>
                <w:szCs w:val="20"/>
              </w:rPr>
              <w:t>111.018</w:t>
            </w:r>
          </w:p>
        </w:tc>
        <w:tc>
          <w:tcPr>
            <w:tcW w:w="540" w:type="pct"/>
            <w:vAlign w:val="center"/>
          </w:tcPr>
          <w:p w14:paraId="1BAC31CF" w14:textId="77777777" w:rsidR="00655A4C" w:rsidRPr="00034A31" w:rsidRDefault="00655A4C" w:rsidP="00DD5CE3">
            <w:pPr>
              <w:spacing w:before="60" w:after="60" w:line="340" w:lineRule="exact"/>
              <w:ind w:right="116"/>
              <w:jc w:val="right"/>
              <w:rPr>
                <w:color w:val="0000FF"/>
                <w:sz w:val="20"/>
                <w:szCs w:val="20"/>
              </w:rPr>
            </w:pPr>
            <w:r w:rsidRPr="00034A31">
              <w:rPr>
                <w:color w:val="0000FF"/>
                <w:sz w:val="20"/>
                <w:szCs w:val="20"/>
              </w:rPr>
              <w:t>224.698</w:t>
            </w:r>
          </w:p>
        </w:tc>
        <w:tc>
          <w:tcPr>
            <w:tcW w:w="540" w:type="pct"/>
            <w:vAlign w:val="center"/>
          </w:tcPr>
          <w:p w14:paraId="37FF9F3A" w14:textId="77777777" w:rsidR="00655A4C" w:rsidRPr="00034A31" w:rsidRDefault="00655A4C" w:rsidP="00DD5CE3">
            <w:pPr>
              <w:spacing w:before="60" w:after="60" w:line="340" w:lineRule="exact"/>
              <w:ind w:right="116"/>
              <w:jc w:val="right"/>
              <w:rPr>
                <w:color w:val="0000FF"/>
                <w:sz w:val="20"/>
                <w:szCs w:val="20"/>
              </w:rPr>
            </w:pPr>
            <w:r w:rsidRPr="00034A31">
              <w:rPr>
                <w:color w:val="0000FF"/>
                <w:sz w:val="20"/>
                <w:szCs w:val="20"/>
              </w:rPr>
              <w:t>184.837</w:t>
            </w:r>
          </w:p>
        </w:tc>
        <w:tc>
          <w:tcPr>
            <w:tcW w:w="540" w:type="pct"/>
            <w:vAlign w:val="center"/>
          </w:tcPr>
          <w:p w14:paraId="648C436B" w14:textId="77777777" w:rsidR="00655A4C" w:rsidRPr="00034A31" w:rsidRDefault="00655A4C" w:rsidP="00DD5CE3">
            <w:pPr>
              <w:spacing w:before="60" w:after="60" w:line="340" w:lineRule="exact"/>
              <w:ind w:right="116"/>
              <w:jc w:val="right"/>
              <w:rPr>
                <w:color w:val="0000FF"/>
                <w:sz w:val="20"/>
                <w:szCs w:val="20"/>
              </w:rPr>
            </w:pPr>
            <w:r w:rsidRPr="00034A31">
              <w:rPr>
                <w:color w:val="0000FF"/>
                <w:sz w:val="20"/>
                <w:szCs w:val="20"/>
              </w:rPr>
              <w:t>181.815</w:t>
            </w:r>
          </w:p>
        </w:tc>
        <w:tc>
          <w:tcPr>
            <w:tcW w:w="540" w:type="pct"/>
            <w:tcMar>
              <w:top w:w="0" w:type="dxa"/>
              <w:left w:w="108" w:type="dxa"/>
              <w:bottom w:w="0" w:type="dxa"/>
              <w:right w:w="108" w:type="dxa"/>
            </w:tcMar>
            <w:vAlign w:val="center"/>
          </w:tcPr>
          <w:p w14:paraId="7403476B" w14:textId="77777777" w:rsidR="00655A4C" w:rsidRPr="00034A31" w:rsidRDefault="00655A4C" w:rsidP="00DD5CE3">
            <w:pPr>
              <w:spacing w:before="60" w:after="60" w:line="340" w:lineRule="exact"/>
              <w:jc w:val="right"/>
              <w:rPr>
                <w:color w:val="0000FF"/>
                <w:sz w:val="20"/>
                <w:szCs w:val="20"/>
              </w:rPr>
            </w:pPr>
            <w:r w:rsidRPr="00034A31">
              <w:rPr>
                <w:color w:val="0000FF"/>
                <w:sz w:val="20"/>
                <w:szCs w:val="20"/>
              </w:rPr>
              <w:t>182.803</w:t>
            </w:r>
          </w:p>
        </w:tc>
        <w:tc>
          <w:tcPr>
            <w:tcW w:w="540" w:type="pct"/>
            <w:vAlign w:val="center"/>
          </w:tcPr>
          <w:p w14:paraId="3CD7D51F" w14:textId="77777777" w:rsidR="00655A4C" w:rsidRPr="00034A31" w:rsidRDefault="00655A4C" w:rsidP="00DD5CE3">
            <w:pPr>
              <w:spacing w:before="60" w:after="60" w:line="340" w:lineRule="exact"/>
              <w:ind w:right="116"/>
              <w:jc w:val="right"/>
              <w:rPr>
                <w:color w:val="0000FF"/>
                <w:sz w:val="20"/>
                <w:szCs w:val="20"/>
              </w:rPr>
            </w:pPr>
            <w:r w:rsidRPr="00034A31">
              <w:rPr>
                <w:color w:val="0000FF"/>
                <w:sz w:val="20"/>
                <w:szCs w:val="20"/>
              </w:rPr>
              <w:t>124%</w:t>
            </w:r>
          </w:p>
        </w:tc>
        <w:tc>
          <w:tcPr>
            <w:tcW w:w="624" w:type="pct"/>
            <w:tcMar>
              <w:top w:w="0" w:type="dxa"/>
              <w:left w:w="108" w:type="dxa"/>
              <w:bottom w:w="0" w:type="dxa"/>
              <w:right w:w="108" w:type="dxa"/>
            </w:tcMar>
            <w:vAlign w:val="center"/>
          </w:tcPr>
          <w:p w14:paraId="3F17ECD7" w14:textId="77777777" w:rsidR="00655A4C" w:rsidRPr="00034A31" w:rsidRDefault="00655A4C" w:rsidP="00DD5CE3">
            <w:pPr>
              <w:spacing w:before="60" w:after="60" w:line="340" w:lineRule="exact"/>
              <w:jc w:val="right"/>
              <w:rPr>
                <w:color w:val="0000FF"/>
                <w:sz w:val="20"/>
                <w:szCs w:val="20"/>
              </w:rPr>
            </w:pPr>
            <w:r w:rsidRPr="00034A31">
              <w:rPr>
                <w:color w:val="0000FF"/>
                <w:sz w:val="20"/>
                <w:szCs w:val="20"/>
              </w:rPr>
              <w:t>165%</w:t>
            </w:r>
          </w:p>
        </w:tc>
      </w:tr>
      <w:tr w:rsidR="007B189E" w:rsidRPr="007B189E" w14:paraId="5B6577DF" w14:textId="77777777" w:rsidTr="004519E3">
        <w:trPr>
          <w:trHeight w:val="454"/>
        </w:trPr>
        <w:tc>
          <w:tcPr>
            <w:tcW w:w="253" w:type="pct"/>
            <w:vMerge w:val="restart"/>
            <w:tcMar>
              <w:top w:w="0" w:type="dxa"/>
              <w:left w:w="108" w:type="dxa"/>
              <w:bottom w:w="0" w:type="dxa"/>
              <w:right w:w="108" w:type="dxa"/>
            </w:tcMar>
            <w:vAlign w:val="center"/>
            <w:hideMark/>
          </w:tcPr>
          <w:p w14:paraId="702F04B3" w14:textId="77777777" w:rsidR="00655A4C" w:rsidRPr="00034A31" w:rsidRDefault="00655A4C" w:rsidP="00DD5CE3">
            <w:pPr>
              <w:spacing w:before="60" w:after="60" w:line="340" w:lineRule="exact"/>
              <w:jc w:val="center"/>
              <w:rPr>
                <w:b/>
                <w:bCs/>
                <w:color w:val="0000FF"/>
                <w:sz w:val="20"/>
                <w:szCs w:val="20"/>
              </w:rPr>
            </w:pPr>
            <w:r w:rsidRPr="00034A31">
              <w:rPr>
                <w:b/>
                <w:bCs/>
                <w:color w:val="0000FF"/>
                <w:sz w:val="20"/>
                <w:szCs w:val="20"/>
              </w:rPr>
              <w:t>3</w:t>
            </w:r>
          </w:p>
          <w:p w14:paraId="56D42E94" w14:textId="77777777" w:rsidR="00655A4C" w:rsidRPr="00034A31" w:rsidRDefault="00655A4C" w:rsidP="00DD5CE3">
            <w:pPr>
              <w:spacing w:before="60" w:after="60" w:line="340" w:lineRule="exact"/>
              <w:jc w:val="center"/>
              <w:rPr>
                <w:b/>
                <w:bCs/>
                <w:color w:val="0000FF"/>
                <w:sz w:val="20"/>
                <w:szCs w:val="20"/>
              </w:rPr>
            </w:pPr>
          </w:p>
        </w:tc>
        <w:tc>
          <w:tcPr>
            <w:tcW w:w="883" w:type="pct"/>
            <w:tcMar>
              <w:top w:w="0" w:type="dxa"/>
              <w:left w:w="108" w:type="dxa"/>
              <w:bottom w:w="0" w:type="dxa"/>
              <w:right w:w="108" w:type="dxa"/>
            </w:tcMar>
            <w:vAlign w:val="center"/>
            <w:hideMark/>
          </w:tcPr>
          <w:p w14:paraId="250BBECE" w14:textId="77777777" w:rsidR="00655A4C" w:rsidRPr="00034A31" w:rsidRDefault="00655A4C" w:rsidP="00DD5CE3">
            <w:pPr>
              <w:spacing w:before="60" w:after="60" w:line="340" w:lineRule="exact"/>
              <w:jc w:val="both"/>
              <w:rPr>
                <w:b/>
                <w:bCs/>
                <w:color w:val="0000FF"/>
                <w:sz w:val="20"/>
                <w:szCs w:val="20"/>
              </w:rPr>
            </w:pPr>
            <w:r w:rsidRPr="00034A31">
              <w:rPr>
                <w:b/>
                <w:bCs/>
                <w:color w:val="0000FF"/>
                <w:sz w:val="20"/>
                <w:szCs w:val="20"/>
              </w:rPr>
              <w:t>LN hợp nhất trước thuế (</w:t>
            </w:r>
            <w:r w:rsidRPr="00034A31">
              <w:rPr>
                <w:b/>
                <w:bCs/>
                <w:i/>
                <w:iCs/>
                <w:color w:val="0000FF"/>
                <w:sz w:val="20"/>
                <w:szCs w:val="20"/>
              </w:rPr>
              <w:t>tỷ đồng</w:t>
            </w:r>
            <w:r w:rsidRPr="00034A31">
              <w:rPr>
                <w:b/>
                <w:bCs/>
                <w:color w:val="0000FF"/>
                <w:sz w:val="20"/>
                <w:szCs w:val="20"/>
              </w:rPr>
              <w:t>)</w:t>
            </w:r>
          </w:p>
        </w:tc>
        <w:tc>
          <w:tcPr>
            <w:tcW w:w="539" w:type="pct"/>
            <w:tcMar>
              <w:top w:w="0" w:type="dxa"/>
              <w:left w:w="108" w:type="dxa"/>
              <w:bottom w:w="0" w:type="dxa"/>
              <w:right w:w="108" w:type="dxa"/>
            </w:tcMar>
            <w:vAlign w:val="center"/>
          </w:tcPr>
          <w:p w14:paraId="4EA3B2E9" w14:textId="77777777" w:rsidR="00655A4C" w:rsidRPr="00034A31" w:rsidRDefault="00655A4C" w:rsidP="00DD5CE3">
            <w:pPr>
              <w:spacing w:before="60" w:after="60" w:line="340" w:lineRule="exact"/>
              <w:jc w:val="right"/>
              <w:rPr>
                <w:bCs/>
                <w:color w:val="0000FF"/>
                <w:sz w:val="20"/>
                <w:szCs w:val="20"/>
              </w:rPr>
            </w:pPr>
            <w:r w:rsidRPr="00034A31">
              <w:rPr>
                <w:color w:val="0000FF"/>
                <w:sz w:val="20"/>
                <w:szCs w:val="20"/>
              </w:rPr>
              <w:t>3.789</w:t>
            </w:r>
          </w:p>
        </w:tc>
        <w:tc>
          <w:tcPr>
            <w:tcW w:w="540" w:type="pct"/>
            <w:vAlign w:val="center"/>
          </w:tcPr>
          <w:p w14:paraId="791378D2" w14:textId="77777777" w:rsidR="00655A4C" w:rsidRPr="00034A31" w:rsidRDefault="00655A4C" w:rsidP="00DD5CE3">
            <w:pPr>
              <w:spacing w:before="60" w:after="60" w:line="340" w:lineRule="exact"/>
              <w:ind w:right="116"/>
              <w:jc w:val="right"/>
              <w:rPr>
                <w:color w:val="0000FF"/>
                <w:sz w:val="20"/>
                <w:szCs w:val="20"/>
              </w:rPr>
            </w:pPr>
            <w:r w:rsidRPr="00034A31">
              <w:rPr>
                <w:color w:val="0000FF"/>
                <w:sz w:val="20"/>
                <w:szCs w:val="20"/>
              </w:rPr>
              <w:t>2.270</w:t>
            </w:r>
          </w:p>
        </w:tc>
        <w:tc>
          <w:tcPr>
            <w:tcW w:w="540" w:type="pct"/>
            <w:vAlign w:val="center"/>
          </w:tcPr>
          <w:p w14:paraId="7B0F0ADE" w14:textId="77777777" w:rsidR="00655A4C" w:rsidRPr="00034A31" w:rsidRDefault="00655A4C" w:rsidP="00DD5CE3">
            <w:pPr>
              <w:spacing w:before="60" w:after="60" w:line="340" w:lineRule="exact"/>
              <w:ind w:right="116"/>
              <w:jc w:val="right"/>
              <w:rPr>
                <w:color w:val="0000FF"/>
                <w:sz w:val="20"/>
                <w:szCs w:val="20"/>
              </w:rPr>
            </w:pPr>
            <w:r w:rsidRPr="00034A31">
              <w:rPr>
                <w:color w:val="0000FF"/>
                <w:sz w:val="20"/>
                <w:szCs w:val="20"/>
              </w:rPr>
              <w:t>3.947</w:t>
            </w:r>
          </w:p>
        </w:tc>
        <w:tc>
          <w:tcPr>
            <w:tcW w:w="540" w:type="pct"/>
            <w:vAlign w:val="center"/>
          </w:tcPr>
          <w:p w14:paraId="0B20ED26" w14:textId="77777777" w:rsidR="00655A4C" w:rsidRPr="00034A31" w:rsidRDefault="00655A4C" w:rsidP="00DD5CE3">
            <w:pPr>
              <w:spacing w:before="60" w:after="60" w:line="340" w:lineRule="exact"/>
              <w:ind w:right="116"/>
              <w:jc w:val="right"/>
              <w:rPr>
                <w:color w:val="0000FF"/>
                <w:sz w:val="20"/>
                <w:szCs w:val="20"/>
              </w:rPr>
            </w:pPr>
            <w:r w:rsidRPr="00034A31">
              <w:rPr>
                <w:color w:val="0000FF"/>
                <w:sz w:val="20"/>
                <w:szCs w:val="20"/>
              </w:rPr>
              <w:t>3.972</w:t>
            </w:r>
          </w:p>
        </w:tc>
        <w:tc>
          <w:tcPr>
            <w:tcW w:w="540" w:type="pct"/>
            <w:tcMar>
              <w:top w:w="0" w:type="dxa"/>
              <w:left w:w="108" w:type="dxa"/>
              <w:bottom w:w="0" w:type="dxa"/>
              <w:right w:w="108" w:type="dxa"/>
            </w:tcMar>
            <w:vAlign w:val="center"/>
          </w:tcPr>
          <w:p w14:paraId="09368015" w14:textId="0E89749C" w:rsidR="00655A4C" w:rsidRPr="00034A31" w:rsidRDefault="00655A4C" w:rsidP="00DD5CE3">
            <w:pPr>
              <w:spacing w:before="60" w:after="60" w:line="340" w:lineRule="exact"/>
              <w:jc w:val="right"/>
              <w:rPr>
                <w:color w:val="0000FF"/>
                <w:sz w:val="20"/>
                <w:szCs w:val="20"/>
              </w:rPr>
            </w:pPr>
            <w:r w:rsidRPr="00034A31">
              <w:rPr>
                <w:color w:val="0000FF"/>
                <w:sz w:val="20"/>
                <w:szCs w:val="20"/>
              </w:rPr>
              <w:t>3.6</w:t>
            </w:r>
            <w:r w:rsidR="009B2F12" w:rsidRPr="00034A31">
              <w:rPr>
                <w:color w:val="0000FF"/>
                <w:sz w:val="20"/>
                <w:szCs w:val="20"/>
              </w:rPr>
              <w:t>43</w:t>
            </w:r>
          </w:p>
        </w:tc>
        <w:tc>
          <w:tcPr>
            <w:tcW w:w="540" w:type="pct"/>
            <w:vAlign w:val="center"/>
          </w:tcPr>
          <w:p w14:paraId="0ADC5EBA" w14:textId="770FA5AE" w:rsidR="00655A4C" w:rsidRPr="00034A31" w:rsidRDefault="00655A4C" w:rsidP="00DD5CE3">
            <w:pPr>
              <w:spacing w:before="60" w:after="60" w:line="340" w:lineRule="exact"/>
              <w:ind w:right="116"/>
              <w:jc w:val="right"/>
              <w:rPr>
                <w:color w:val="0000FF"/>
                <w:sz w:val="20"/>
                <w:szCs w:val="20"/>
              </w:rPr>
            </w:pPr>
            <w:r w:rsidRPr="00034A31">
              <w:rPr>
                <w:color w:val="0000FF"/>
                <w:sz w:val="20"/>
                <w:szCs w:val="20"/>
              </w:rPr>
              <w:t>11</w:t>
            </w:r>
            <w:r w:rsidR="009B2F12" w:rsidRPr="00034A31">
              <w:rPr>
                <w:color w:val="0000FF"/>
                <w:sz w:val="20"/>
                <w:szCs w:val="20"/>
              </w:rPr>
              <w:t>4</w:t>
            </w:r>
            <w:r w:rsidRPr="00034A31">
              <w:rPr>
                <w:color w:val="0000FF"/>
                <w:sz w:val="20"/>
                <w:szCs w:val="20"/>
              </w:rPr>
              <w:t>%</w:t>
            </w:r>
          </w:p>
        </w:tc>
        <w:tc>
          <w:tcPr>
            <w:tcW w:w="624" w:type="pct"/>
            <w:tcMar>
              <w:top w:w="0" w:type="dxa"/>
              <w:left w:w="108" w:type="dxa"/>
              <w:bottom w:w="0" w:type="dxa"/>
              <w:right w:w="108" w:type="dxa"/>
            </w:tcMar>
            <w:vAlign w:val="center"/>
          </w:tcPr>
          <w:p w14:paraId="432AC8C8" w14:textId="01F18598" w:rsidR="00655A4C" w:rsidRPr="00034A31" w:rsidRDefault="009B2F12" w:rsidP="00DD5CE3">
            <w:pPr>
              <w:spacing w:before="60" w:after="60" w:line="340" w:lineRule="exact"/>
              <w:jc w:val="right"/>
              <w:rPr>
                <w:color w:val="0000FF"/>
                <w:sz w:val="20"/>
                <w:szCs w:val="20"/>
              </w:rPr>
            </w:pPr>
            <w:r w:rsidRPr="00034A31">
              <w:rPr>
                <w:color w:val="0000FF"/>
                <w:sz w:val="20"/>
                <w:szCs w:val="20"/>
              </w:rPr>
              <w:t>96</w:t>
            </w:r>
            <w:r w:rsidR="00655A4C" w:rsidRPr="00034A31">
              <w:rPr>
                <w:color w:val="0000FF"/>
                <w:sz w:val="20"/>
                <w:szCs w:val="20"/>
              </w:rPr>
              <w:t>%</w:t>
            </w:r>
          </w:p>
        </w:tc>
      </w:tr>
      <w:tr w:rsidR="007B189E" w:rsidRPr="007B189E" w14:paraId="54EBEAB6" w14:textId="77777777" w:rsidTr="004519E3">
        <w:trPr>
          <w:trHeight w:val="235"/>
        </w:trPr>
        <w:tc>
          <w:tcPr>
            <w:tcW w:w="253" w:type="pct"/>
            <w:vMerge/>
            <w:tcMar>
              <w:top w:w="0" w:type="dxa"/>
              <w:left w:w="108" w:type="dxa"/>
              <w:bottom w:w="0" w:type="dxa"/>
              <w:right w:w="108" w:type="dxa"/>
            </w:tcMar>
            <w:vAlign w:val="center"/>
            <w:hideMark/>
          </w:tcPr>
          <w:p w14:paraId="5EB49055" w14:textId="77777777" w:rsidR="00655A4C" w:rsidRPr="00034A31" w:rsidRDefault="00655A4C" w:rsidP="00DD5CE3">
            <w:pPr>
              <w:spacing w:before="60" w:after="60" w:line="340" w:lineRule="exact"/>
              <w:jc w:val="center"/>
              <w:rPr>
                <w:color w:val="0000FF"/>
                <w:sz w:val="20"/>
                <w:szCs w:val="20"/>
              </w:rPr>
            </w:pPr>
          </w:p>
        </w:tc>
        <w:tc>
          <w:tcPr>
            <w:tcW w:w="883" w:type="pct"/>
            <w:tcMar>
              <w:top w:w="0" w:type="dxa"/>
              <w:left w:w="108" w:type="dxa"/>
              <w:bottom w:w="0" w:type="dxa"/>
              <w:right w:w="108" w:type="dxa"/>
            </w:tcMar>
            <w:vAlign w:val="center"/>
            <w:hideMark/>
          </w:tcPr>
          <w:p w14:paraId="5012036A" w14:textId="77777777" w:rsidR="00655A4C" w:rsidRPr="00034A31" w:rsidRDefault="00655A4C" w:rsidP="00DD5CE3">
            <w:pPr>
              <w:spacing w:before="60" w:after="60" w:line="340" w:lineRule="exact"/>
              <w:jc w:val="both"/>
              <w:rPr>
                <w:i/>
                <w:iCs/>
                <w:color w:val="0000FF"/>
                <w:sz w:val="20"/>
                <w:szCs w:val="20"/>
              </w:rPr>
            </w:pPr>
            <w:r w:rsidRPr="00034A31">
              <w:rPr>
                <w:i/>
                <w:iCs/>
                <w:color w:val="0000FF"/>
                <w:sz w:val="20"/>
                <w:szCs w:val="20"/>
              </w:rPr>
              <w:t>Trong đó Công ty mẹ</w:t>
            </w:r>
          </w:p>
        </w:tc>
        <w:tc>
          <w:tcPr>
            <w:tcW w:w="539" w:type="pct"/>
            <w:tcMar>
              <w:top w:w="0" w:type="dxa"/>
              <w:left w:w="108" w:type="dxa"/>
              <w:bottom w:w="0" w:type="dxa"/>
              <w:right w:w="108" w:type="dxa"/>
            </w:tcMar>
            <w:vAlign w:val="center"/>
          </w:tcPr>
          <w:p w14:paraId="5E19E0FB" w14:textId="77777777" w:rsidR="00655A4C" w:rsidRPr="00034A31" w:rsidRDefault="00655A4C" w:rsidP="00DD5CE3">
            <w:pPr>
              <w:spacing w:before="60" w:after="60" w:line="340" w:lineRule="exact"/>
              <w:jc w:val="right"/>
              <w:rPr>
                <w:bCs/>
                <w:color w:val="0000FF"/>
                <w:sz w:val="20"/>
                <w:szCs w:val="20"/>
              </w:rPr>
            </w:pPr>
            <w:r w:rsidRPr="00034A31">
              <w:rPr>
                <w:color w:val="0000FF"/>
                <w:sz w:val="20"/>
                <w:szCs w:val="20"/>
              </w:rPr>
              <w:t>1.883</w:t>
            </w:r>
          </w:p>
        </w:tc>
        <w:tc>
          <w:tcPr>
            <w:tcW w:w="540" w:type="pct"/>
            <w:vAlign w:val="center"/>
          </w:tcPr>
          <w:p w14:paraId="21D8F778" w14:textId="77777777" w:rsidR="00655A4C" w:rsidRPr="00034A31" w:rsidRDefault="00655A4C" w:rsidP="00DD5CE3">
            <w:pPr>
              <w:spacing w:before="60" w:after="60" w:line="340" w:lineRule="exact"/>
              <w:ind w:right="116"/>
              <w:jc w:val="right"/>
              <w:rPr>
                <w:color w:val="0000FF"/>
                <w:sz w:val="20"/>
                <w:szCs w:val="20"/>
              </w:rPr>
            </w:pPr>
            <w:r w:rsidRPr="00034A31">
              <w:rPr>
                <w:color w:val="0000FF"/>
                <w:sz w:val="20"/>
                <w:szCs w:val="20"/>
              </w:rPr>
              <w:t>806</w:t>
            </w:r>
          </w:p>
        </w:tc>
        <w:tc>
          <w:tcPr>
            <w:tcW w:w="540" w:type="pct"/>
            <w:vAlign w:val="center"/>
          </w:tcPr>
          <w:p w14:paraId="1B9A7ADB" w14:textId="77777777" w:rsidR="00655A4C" w:rsidRPr="00034A31" w:rsidRDefault="00655A4C" w:rsidP="00DD5CE3">
            <w:pPr>
              <w:spacing w:before="60" w:after="60" w:line="340" w:lineRule="exact"/>
              <w:ind w:right="116"/>
              <w:jc w:val="right"/>
              <w:rPr>
                <w:color w:val="0000FF"/>
                <w:sz w:val="20"/>
                <w:szCs w:val="20"/>
              </w:rPr>
            </w:pPr>
            <w:r w:rsidRPr="00034A31">
              <w:rPr>
                <w:color w:val="0000FF"/>
                <w:sz w:val="20"/>
                <w:szCs w:val="20"/>
              </w:rPr>
              <w:t>2.624</w:t>
            </w:r>
          </w:p>
        </w:tc>
        <w:tc>
          <w:tcPr>
            <w:tcW w:w="540" w:type="pct"/>
            <w:vAlign w:val="center"/>
          </w:tcPr>
          <w:p w14:paraId="1067E93F" w14:textId="77777777" w:rsidR="00655A4C" w:rsidRPr="00034A31" w:rsidRDefault="00655A4C" w:rsidP="00DD5CE3">
            <w:pPr>
              <w:spacing w:before="60" w:after="60" w:line="340" w:lineRule="exact"/>
              <w:ind w:right="116"/>
              <w:jc w:val="right"/>
              <w:rPr>
                <w:color w:val="0000FF"/>
                <w:sz w:val="20"/>
                <w:szCs w:val="20"/>
              </w:rPr>
            </w:pPr>
            <w:r w:rsidRPr="00034A31">
              <w:rPr>
                <w:color w:val="0000FF"/>
                <w:sz w:val="20"/>
                <w:szCs w:val="20"/>
              </w:rPr>
              <w:t>1.935</w:t>
            </w:r>
          </w:p>
        </w:tc>
        <w:tc>
          <w:tcPr>
            <w:tcW w:w="540" w:type="pct"/>
            <w:tcMar>
              <w:top w:w="0" w:type="dxa"/>
              <w:left w:w="108" w:type="dxa"/>
              <w:bottom w:w="0" w:type="dxa"/>
              <w:right w:w="108" w:type="dxa"/>
            </w:tcMar>
            <w:vAlign w:val="center"/>
          </w:tcPr>
          <w:p w14:paraId="7D6BC683" w14:textId="78D3B6E5" w:rsidR="00655A4C" w:rsidRPr="00034A31" w:rsidRDefault="00655A4C" w:rsidP="00DD5CE3">
            <w:pPr>
              <w:spacing w:before="60" w:after="60" w:line="340" w:lineRule="exact"/>
              <w:jc w:val="right"/>
              <w:rPr>
                <w:color w:val="0000FF"/>
                <w:sz w:val="20"/>
                <w:szCs w:val="20"/>
              </w:rPr>
            </w:pPr>
            <w:r w:rsidRPr="00034A31">
              <w:rPr>
                <w:color w:val="0000FF"/>
                <w:sz w:val="20"/>
                <w:szCs w:val="20"/>
              </w:rPr>
              <w:t>2</w:t>
            </w:r>
            <w:r w:rsidR="009B2F12" w:rsidRPr="00034A31">
              <w:rPr>
                <w:color w:val="0000FF"/>
                <w:sz w:val="20"/>
                <w:szCs w:val="20"/>
              </w:rPr>
              <w:t>.124</w:t>
            </w:r>
          </w:p>
        </w:tc>
        <w:tc>
          <w:tcPr>
            <w:tcW w:w="540" w:type="pct"/>
            <w:vAlign w:val="center"/>
          </w:tcPr>
          <w:p w14:paraId="2AAB8B5F" w14:textId="3CE76163" w:rsidR="00655A4C" w:rsidRPr="00034A31" w:rsidRDefault="009B2F12" w:rsidP="00DD5CE3">
            <w:pPr>
              <w:spacing w:before="60" w:after="60" w:line="340" w:lineRule="exact"/>
              <w:ind w:right="116"/>
              <w:jc w:val="right"/>
              <w:rPr>
                <w:color w:val="0000FF"/>
                <w:sz w:val="20"/>
                <w:szCs w:val="20"/>
              </w:rPr>
            </w:pPr>
            <w:r w:rsidRPr="00034A31">
              <w:rPr>
                <w:color w:val="0000FF"/>
                <w:sz w:val="20"/>
                <w:szCs w:val="20"/>
              </w:rPr>
              <w:t>110</w:t>
            </w:r>
            <w:r w:rsidR="00655A4C" w:rsidRPr="00034A31">
              <w:rPr>
                <w:color w:val="0000FF"/>
                <w:sz w:val="20"/>
                <w:szCs w:val="20"/>
              </w:rPr>
              <w:t>%</w:t>
            </w:r>
          </w:p>
        </w:tc>
        <w:tc>
          <w:tcPr>
            <w:tcW w:w="624" w:type="pct"/>
            <w:tcMar>
              <w:top w:w="0" w:type="dxa"/>
              <w:left w:w="108" w:type="dxa"/>
              <w:bottom w:w="0" w:type="dxa"/>
              <w:right w:w="108" w:type="dxa"/>
            </w:tcMar>
            <w:vAlign w:val="center"/>
          </w:tcPr>
          <w:p w14:paraId="120E980D" w14:textId="7C65CFBF" w:rsidR="00655A4C" w:rsidRPr="00034A31" w:rsidRDefault="009B2F12" w:rsidP="00DD5CE3">
            <w:pPr>
              <w:spacing w:before="60" w:after="60" w:line="340" w:lineRule="exact"/>
              <w:jc w:val="right"/>
              <w:rPr>
                <w:color w:val="0000FF"/>
                <w:sz w:val="20"/>
                <w:szCs w:val="20"/>
              </w:rPr>
            </w:pPr>
            <w:r w:rsidRPr="00034A31">
              <w:rPr>
                <w:color w:val="0000FF"/>
                <w:sz w:val="20"/>
                <w:szCs w:val="20"/>
              </w:rPr>
              <w:t>113%</w:t>
            </w:r>
          </w:p>
        </w:tc>
      </w:tr>
      <w:tr w:rsidR="007B189E" w:rsidRPr="007B189E" w14:paraId="0A25D67D" w14:textId="77777777" w:rsidTr="004519E3">
        <w:trPr>
          <w:trHeight w:val="226"/>
        </w:trPr>
        <w:tc>
          <w:tcPr>
            <w:tcW w:w="253" w:type="pct"/>
            <w:tcMar>
              <w:top w:w="0" w:type="dxa"/>
              <w:left w:w="108" w:type="dxa"/>
              <w:bottom w:w="0" w:type="dxa"/>
              <w:right w:w="108" w:type="dxa"/>
            </w:tcMar>
            <w:vAlign w:val="center"/>
          </w:tcPr>
          <w:p w14:paraId="79982699" w14:textId="77777777" w:rsidR="00655A4C" w:rsidRPr="00034A31" w:rsidRDefault="00655A4C" w:rsidP="00DD5CE3">
            <w:pPr>
              <w:spacing w:before="60" w:after="60" w:line="340" w:lineRule="exact"/>
              <w:jc w:val="center"/>
              <w:rPr>
                <w:b/>
                <w:bCs/>
                <w:color w:val="0000FF"/>
                <w:sz w:val="20"/>
                <w:szCs w:val="20"/>
              </w:rPr>
            </w:pPr>
            <w:r w:rsidRPr="00034A31">
              <w:rPr>
                <w:b/>
                <w:bCs/>
                <w:color w:val="0000FF"/>
                <w:sz w:val="20"/>
                <w:szCs w:val="20"/>
              </w:rPr>
              <w:t>4</w:t>
            </w:r>
          </w:p>
        </w:tc>
        <w:tc>
          <w:tcPr>
            <w:tcW w:w="883" w:type="pct"/>
            <w:tcMar>
              <w:top w:w="0" w:type="dxa"/>
              <w:left w:w="108" w:type="dxa"/>
              <w:bottom w:w="0" w:type="dxa"/>
              <w:right w:w="108" w:type="dxa"/>
            </w:tcMar>
            <w:vAlign w:val="center"/>
          </w:tcPr>
          <w:p w14:paraId="5D0DBDA8" w14:textId="77777777" w:rsidR="00655A4C" w:rsidRPr="00034A31" w:rsidRDefault="00655A4C" w:rsidP="00DD5CE3">
            <w:pPr>
              <w:spacing w:before="60" w:after="60" w:line="340" w:lineRule="exact"/>
              <w:jc w:val="both"/>
              <w:rPr>
                <w:b/>
                <w:bCs/>
                <w:color w:val="0000FF"/>
                <w:sz w:val="20"/>
                <w:szCs w:val="20"/>
              </w:rPr>
            </w:pPr>
            <w:r w:rsidRPr="00034A31">
              <w:rPr>
                <w:b/>
                <w:bCs/>
                <w:color w:val="0000FF"/>
                <w:sz w:val="20"/>
                <w:szCs w:val="20"/>
              </w:rPr>
              <w:t>Tỷ lệ chia cổ tức</w:t>
            </w:r>
          </w:p>
        </w:tc>
        <w:tc>
          <w:tcPr>
            <w:tcW w:w="539" w:type="pct"/>
            <w:tcMar>
              <w:top w:w="0" w:type="dxa"/>
              <w:left w:w="108" w:type="dxa"/>
              <w:bottom w:w="0" w:type="dxa"/>
              <w:right w:w="108" w:type="dxa"/>
            </w:tcMar>
            <w:vAlign w:val="center"/>
          </w:tcPr>
          <w:p w14:paraId="7331BC75" w14:textId="77777777" w:rsidR="00655A4C" w:rsidRPr="00034A31" w:rsidRDefault="00655A4C" w:rsidP="00DD5CE3">
            <w:pPr>
              <w:spacing w:before="60" w:after="60" w:line="340" w:lineRule="exact"/>
              <w:jc w:val="right"/>
              <w:rPr>
                <w:color w:val="0000FF"/>
                <w:sz w:val="20"/>
                <w:szCs w:val="20"/>
              </w:rPr>
            </w:pPr>
            <w:r w:rsidRPr="00034A31">
              <w:rPr>
                <w:color w:val="0000FF"/>
                <w:sz w:val="20"/>
                <w:szCs w:val="20"/>
              </w:rPr>
              <w:t>12</w:t>
            </w:r>
          </w:p>
        </w:tc>
        <w:tc>
          <w:tcPr>
            <w:tcW w:w="540" w:type="pct"/>
            <w:vAlign w:val="center"/>
          </w:tcPr>
          <w:p w14:paraId="5617B9F5" w14:textId="77777777" w:rsidR="00655A4C" w:rsidRPr="00034A31" w:rsidRDefault="00655A4C" w:rsidP="00DD5CE3">
            <w:pPr>
              <w:spacing w:before="60" w:after="60" w:line="340" w:lineRule="exact"/>
              <w:ind w:right="116"/>
              <w:jc w:val="right"/>
              <w:rPr>
                <w:color w:val="0000FF"/>
                <w:sz w:val="20"/>
                <w:szCs w:val="20"/>
              </w:rPr>
            </w:pPr>
            <w:r w:rsidRPr="00034A31">
              <w:rPr>
                <w:color w:val="0000FF"/>
                <w:sz w:val="20"/>
                <w:szCs w:val="20"/>
              </w:rPr>
              <w:t>7</w:t>
            </w:r>
          </w:p>
        </w:tc>
        <w:tc>
          <w:tcPr>
            <w:tcW w:w="540" w:type="pct"/>
            <w:vAlign w:val="center"/>
          </w:tcPr>
          <w:p w14:paraId="6745C3BE" w14:textId="77777777" w:rsidR="00655A4C" w:rsidRPr="00034A31" w:rsidRDefault="00655A4C" w:rsidP="00DD5CE3">
            <w:pPr>
              <w:spacing w:before="60" w:after="60" w:line="340" w:lineRule="exact"/>
              <w:ind w:right="116"/>
              <w:jc w:val="right"/>
              <w:rPr>
                <w:color w:val="0000FF"/>
                <w:sz w:val="20"/>
                <w:szCs w:val="20"/>
              </w:rPr>
            </w:pPr>
            <w:r w:rsidRPr="00034A31">
              <w:rPr>
                <w:color w:val="0000FF"/>
                <w:sz w:val="20"/>
                <w:szCs w:val="20"/>
              </w:rPr>
              <w:t>15</w:t>
            </w:r>
          </w:p>
        </w:tc>
        <w:tc>
          <w:tcPr>
            <w:tcW w:w="540" w:type="pct"/>
            <w:vAlign w:val="center"/>
          </w:tcPr>
          <w:p w14:paraId="7A7344C2" w14:textId="77777777" w:rsidR="00655A4C" w:rsidRPr="00034A31" w:rsidRDefault="00655A4C" w:rsidP="00DD5CE3">
            <w:pPr>
              <w:spacing w:before="60" w:after="60" w:line="340" w:lineRule="exact"/>
              <w:ind w:right="116"/>
              <w:jc w:val="right"/>
              <w:rPr>
                <w:color w:val="0000FF"/>
                <w:sz w:val="20"/>
                <w:szCs w:val="20"/>
              </w:rPr>
            </w:pPr>
            <w:r w:rsidRPr="00034A31">
              <w:rPr>
                <w:color w:val="0000FF"/>
                <w:sz w:val="20"/>
                <w:szCs w:val="20"/>
              </w:rPr>
              <w:t>12</w:t>
            </w:r>
          </w:p>
        </w:tc>
        <w:tc>
          <w:tcPr>
            <w:tcW w:w="540" w:type="pct"/>
            <w:tcMar>
              <w:top w:w="0" w:type="dxa"/>
              <w:left w:w="108" w:type="dxa"/>
              <w:bottom w:w="0" w:type="dxa"/>
              <w:right w:w="108" w:type="dxa"/>
            </w:tcMar>
            <w:vAlign w:val="center"/>
          </w:tcPr>
          <w:p w14:paraId="3321C688" w14:textId="3836C2A4" w:rsidR="00655A4C" w:rsidRPr="00034A31" w:rsidRDefault="00655A4C" w:rsidP="00DD5CE3">
            <w:pPr>
              <w:spacing w:before="60" w:after="60" w:line="340" w:lineRule="exact"/>
              <w:ind w:left="-166"/>
              <w:jc w:val="right"/>
              <w:rPr>
                <w:color w:val="0000FF"/>
                <w:sz w:val="20"/>
                <w:szCs w:val="20"/>
              </w:rPr>
            </w:pPr>
            <w:r w:rsidRPr="00034A31">
              <w:rPr>
                <w:color w:val="0000FF"/>
                <w:sz w:val="20"/>
                <w:szCs w:val="20"/>
              </w:rPr>
              <w:t>12%</w:t>
            </w:r>
          </w:p>
        </w:tc>
        <w:tc>
          <w:tcPr>
            <w:tcW w:w="540" w:type="pct"/>
            <w:vAlign w:val="center"/>
          </w:tcPr>
          <w:p w14:paraId="31CA1338" w14:textId="77777777" w:rsidR="00655A4C" w:rsidRPr="00034A31" w:rsidRDefault="00655A4C" w:rsidP="00DD5CE3">
            <w:pPr>
              <w:spacing w:before="60" w:after="60" w:line="340" w:lineRule="exact"/>
              <w:ind w:right="116"/>
              <w:jc w:val="right"/>
              <w:rPr>
                <w:color w:val="0000FF"/>
                <w:sz w:val="20"/>
                <w:szCs w:val="20"/>
              </w:rPr>
            </w:pPr>
            <w:r w:rsidRPr="00034A31">
              <w:rPr>
                <w:color w:val="0000FF"/>
                <w:sz w:val="20"/>
                <w:szCs w:val="20"/>
              </w:rPr>
              <w:t>120%</w:t>
            </w:r>
          </w:p>
        </w:tc>
        <w:tc>
          <w:tcPr>
            <w:tcW w:w="624" w:type="pct"/>
            <w:tcMar>
              <w:top w:w="0" w:type="dxa"/>
              <w:left w:w="108" w:type="dxa"/>
              <w:bottom w:w="0" w:type="dxa"/>
              <w:right w:w="108" w:type="dxa"/>
            </w:tcMar>
            <w:vAlign w:val="center"/>
          </w:tcPr>
          <w:p w14:paraId="30500D95" w14:textId="4E83F877" w:rsidR="00655A4C" w:rsidRPr="00034A31" w:rsidRDefault="00A36C3B" w:rsidP="00DD5CE3">
            <w:pPr>
              <w:spacing w:before="60" w:after="60" w:line="340" w:lineRule="exact"/>
              <w:jc w:val="right"/>
              <w:rPr>
                <w:color w:val="0000FF"/>
                <w:sz w:val="20"/>
                <w:szCs w:val="20"/>
              </w:rPr>
            </w:pPr>
            <w:r w:rsidRPr="00034A31">
              <w:rPr>
                <w:color w:val="0000FF"/>
                <w:sz w:val="20"/>
                <w:szCs w:val="20"/>
              </w:rPr>
              <w:t>100</w:t>
            </w:r>
            <w:r w:rsidR="00655A4C" w:rsidRPr="00034A31">
              <w:rPr>
                <w:color w:val="0000FF"/>
                <w:sz w:val="20"/>
                <w:szCs w:val="20"/>
              </w:rPr>
              <w:t>%</w:t>
            </w:r>
            <w:r w:rsidRPr="00034A31">
              <w:rPr>
                <w:color w:val="0000FF"/>
                <w:sz w:val="20"/>
                <w:szCs w:val="20"/>
              </w:rPr>
              <w:t xml:space="preserve"> </w:t>
            </w:r>
          </w:p>
        </w:tc>
      </w:tr>
    </w:tbl>
    <w:p w14:paraId="69A0E1D0" w14:textId="166227FD" w:rsidR="004F2D73" w:rsidRPr="007B189E" w:rsidRDefault="004F2D73" w:rsidP="00DD5CE3">
      <w:pPr>
        <w:pStyle w:val="ListParagraph"/>
        <w:numPr>
          <w:ilvl w:val="0"/>
          <w:numId w:val="4"/>
        </w:numPr>
        <w:spacing w:before="240" w:after="120"/>
        <w:ind w:left="714" w:right="130" w:hanging="357"/>
        <w:rPr>
          <w:b/>
          <w:bCs/>
          <w:szCs w:val="26"/>
        </w:rPr>
      </w:pPr>
      <w:r w:rsidRPr="007B189E">
        <w:rPr>
          <w:b/>
          <w:bCs/>
          <w:szCs w:val="26"/>
        </w:rPr>
        <w:t>Định hướng kế hoạch SXKD giai đoạn 2026 - 2030</w:t>
      </w:r>
      <w:r w:rsidR="00420E3B" w:rsidRPr="007B189E">
        <w:rPr>
          <w:rStyle w:val="FootnoteReference"/>
          <w:b/>
          <w:bCs/>
          <w:szCs w:val="26"/>
        </w:rPr>
        <w:footnoteReference w:id="3"/>
      </w:r>
      <w:r w:rsidRPr="007B189E">
        <w:rPr>
          <w:b/>
          <w:bCs/>
          <w:szCs w:val="26"/>
        </w:rPr>
        <w:t xml:space="preserve"> </w:t>
      </w:r>
    </w:p>
    <w:p w14:paraId="5C03DEB9" w14:textId="77777777" w:rsidR="004F2D73" w:rsidRPr="007B189E" w:rsidRDefault="004F2D73" w:rsidP="004F2D73">
      <w:pPr>
        <w:spacing w:before="60" w:after="60" w:line="360" w:lineRule="exact"/>
        <w:ind w:firstLine="561"/>
        <w:jc w:val="both"/>
        <w:rPr>
          <w:b/>
          <w:i/>
          <w:iCs/>
          <w:szCs w:val="26"/>
        </w:rPr>
      </w:pPr>
      <w:r w:rsidRPr="007B189E">
        <w:rPr>
          <w:b/>
          <w:i/>
          <w:iCs/>
          <w:szCs w:val="26"/>
        </w:rPr>
        <w:t xml:space="preserve">a. Về chỉ tiêu sản lượng: </w:t>
      </w:r>
    </w:p>
    <w:p w14:paraId="1B844A35" w14:textId="77777777" w:rsidR="004F2D73" w:rsidRPr="007B189E" w:rsidRDefault="004F2D73" w:rsidP="004F2D73">
      <w:pPr>
        <w:spacing w:before="60" w:after="60" w:line="360" w:lineRule="exact"/>
        <w:ind w:firstLine="561"/>
        <w:jc w:val="both"/>
        <w:rPr>
          <w:bCs/>
          <w:szCs w:val="26"/>
        </w:rPr>
      </w:pPr>
      <w:r w:rsidRPr="007B189E">
        <w:rPr>
          <w:bCs/>
          <w:szCs w:val="26"/>
        </w:rPr>
        <w:t xml:space="preserve">Với giả định nền kinh tế phát triển theo đúng định hướng của Chính phủ (tối thiểu 10% trong giai đoạn này). Tuy nhiên, sản lượng bán nội địa của Petrolimex qua các năm trong giai đoạn từ 2026 - 2030 sẽ bị ảnh hưởng, dự kiến như sau: </w:t>
      </w:r>
    </w:p>
    <w:p w14:paraId="3D1F956B" w14:textId="77777777" w:rsidR="004F2D73" w:rsidRPr="007B189E" w:rsidRDefault="004F2D73" w:rsidP="004F2D73">
      <w:pPr>
        <w:spacing w:before="60" w:after="60" w:line="360" w:lineRule="exact"/>
        <w:ind w:firstLine="561"/>
        <w:jc w:val="both"/>
        <w:rPr>
          <w:bCs/>
          <w:szCs w:val="26"/>
        </w:rPr>
      </w:pPr>
      <w:r w:rsidRPr="007B189E">
        <w:rPr>
          <w:b/>
          <w:szCs w:val="26"/>
        </w:rPr>
        <w:t xml:space="preserve"> (i)</w:t>
      </w:r>
      <w:r w:rsidRPr="007B189E">
        <w:rPr>
          <w:bCs/>
          <w:szCs w:val="26"/>
        </w:rPr>
        <w:t xml:space="preserve"> </w:t>
      </w:r>
      <w:r w:rsidRPr="007B189E">
        <w:rPr>
          <w:bCs/>
          <w:spacing w:val="-2"/>
          <w:szCs w:val="26"/>
        </w:rPr>
        <w:t>Giai đoạn 2026 - 2027: Tốc độ tăng trưởng sản lượng có thể dao động trong khoảng 8,5% đến 10%. Động lực tăng trưởng từ chủ trương, định hướng phát triển của Nhà nước và các dự án phát triển các tuyến cao tốc mới và nhu cầu kinh tế có thể phần nào bù đắp cho sự khởi đầu của các chính sách hạn chế phương tiện và sự gia tăng của xe điện.</w:t>
      </w:r>
      <w:r w:rsidRPr="007B189E">
        <w:rPr>
          <w:bCs/>
          <w:szCs w:val="26"/>
        </w:rPr>
        <w:t xml:space="preserve"> </w:t>
      </w:r>
    </w:p>
    <w:p w14:paraId="7FB3EC41" w14:textId="77777777" w:rsidR="004F2D73" w:rsidRPr="007B189E" w:rsidRDefault="004F2D73" w:rsidP="004F2D73">
      <w:pPr>
        <w:spacing w:before="60" w:after="60" w:line="360" w:lineRule="exact"/>
        <w:ind w:firstLine="561"/>
        <w:jc w:val="both"/>
        <w:rPr>
          <w:bCs/>
          <w:szCs w:val="26"/>
        </w:rPr>
      </w:pPr>
      <w:r w:rsidRPr="007B189E">
        <w:rPr>
          <w:bCs/>
          <w:szCs w:val="26"/>
        </w:rPr>
        <w:t>- Tăng trưởng kinh tế vẫn là động lực chính. Hạ tầng cao tốc mới đi vào hoạt động sẽ thúc đẩy nhu cầu.</w:t>
      </w:r>
    </w:p>
    <w:p w14:paraId="347B7745" w14:textId="77777777" w:rsidR="004F2D73" w:rsidRPr="007B189E" w:rsidRDefault="004F2D73" w:rsidP="004F2D73">
      <w:pPr>
        <w:spacing w:before="60" w:after="60" w:line="360" w:lineRule="exact"/>
        <w:ind w:firstLine="561"/>
        <w:jc w:val="both"/>
        <w:rPr>
          <w:bCs/>
          <w:szCs w:val="26"/>
        </w:rPr>
      </w:pPr>
      <w:r w:rsidRPr="007B189E">
        <w:rPr>
          <w:bCs/>
          <w:szCs w:val="26"/>
        </w:rPr>
        <w:t>- Xe điện bắt đầu có tác động rõ rệt hơn nhưng chưa chiếm lĩnh thị trường. Số lượng xe động cơ đốt trong vẫn rất lớn.</w:t>
      </w:r>
    </w:p>
    <w:p w14:paraId="7F9B5D11" w14:textId="77777777" w:rsidR="004F2D73" w:rsidRPr="007B189E" w:rsidRDefault="004F2D73" w:rsidP="004F2D73">
      <w:pPr>
        <w:spacing w:before="60" w:after="60" w:line="360" w:lineRule="exact"/>
        <w:ind w:firstLine="561"/>
        <w:jc w:val="both"/>
        <w:rPr>
          <w:bCs/>
          <w:szCs w:val="26"/>
        </w:rPr>
      </w:pPr>
      <w:r w:rsidRPr="007B189E">
        <w:rPr>
          <w:bCs/>
          <w:szCs w:val="26"/>
        </w:rPr>
        <w:lastRenderedPageBreak/>
        <w:t>- Kế hoạch hạn chế xe xăng dầu vào nội đô bắt đầu từ 2027 sẽ bắt đầu ảnh hưởng đến sản lượng tại các thành phố lớn vào cuối giai đoạn này.</w:t>
      </w:r>
    </w:p>
    <w:p w14:paraId="064E4E90" w14:textId="77777777" w:rsidR="004F2D73" w:rsidRPr="007B189E" w:rsidRDefault="004F2D73" w:rsidP="004F2D73">
      <w:pPr>
        <w:spacing w:before="60" w:after="60" w:line="360" w:lineRule="exact"/>
        <w:ind w:firstLine="561"/>
        <w:jc w:val="both"/>
        <w:rPr>
          <w:bCs/>
          <w:szCs w:val="26"/>
        </w:rPr>
      </w:pPr>
      <w:r w:rsidRPr="007B189E">
        <w:rPr>
          <w:bCs/>
          <w:szCs w:val="26"/>
        </w:rPr>
        <w:t>- Petrolimex với vai trò đảm bảo nguồn và mở rộng mạng lưới ra cao tốc, vùng ven có thể vẫn duy trì được mức tăng trưởng dương nhẹ, nhưng sẽ thấp hơn đáng kể so với giai đoạn trước và có thể thấp hơn tốc độ tăng trưởng GDP chung.</w:t>
      </w:r>
    </w:p>
    <w:p w14:paraId="0528A7AF" w14:textId="77777777" w:rsidR="004F2D73" w:rsidRPr="007B189E" w:rsidRDefault="004F2D73" w:rsidP="004F2D73">
      <w:pPr>
        <w:spacing w:before="60" w:after="60" w:line="360" w:lineRule="exact"/>
        <w:ind w:firstLine="561"/>
        <w:jc w:val="both"/>
        <w:rPr>
          <w:bCs/>
          <w:szCs w:val="26"/>
        </w:rPr>
      </w:pPr>
      <w:r w:rsidRPr="007B189E">
        <w:rPr>
          <w:b/>
          <w:szCs w:val="26"/>
        </w:rPr>
        <w:t>(ii)</w:t>
      </w:r>
      <w:r w:rsidRPr="007B189E">
        <w:rPr>
          <w:bCs/>
          <w:szCs w:val="26"/>
        </w:rPr>
        <w:t xml:space="preserve"> Giai đoạn 2028 - 2030: Tốc độ tăng trưởng có khả năng chậm lại, tăng từ 6% đến 7%. Lúc này, tác động của xe điện, nhiên liệu xanh, và các chính sách hạn chế phương tiện sẽ trở nên rõ rệt hơn.</w:t>
      </w:r>
    </w:p>
    <w:p w14:paraId="03B58EFD" w14:textId="77777777" w:rsidR="004F2D73" w:rsidRPr="007B189E" w:rsidRDefault="004F2D73" w:rsidP="004F2D73">
      <w:pPr>
        <w:spacing w:before="60" w:after="60" w:line="360" w:lineRule="exact"/>
        <w:ind w:firstLine="561"/>
        <w:jc w:val="both"/>
        <w:rPr>
          <w:bCs/>
          <w:szCs w:val="26"/>
        </w:rPr>
      </w:pPr>
      <w:r w:rsidRPr="007B189E">
        <w:rPr>
          <w:bCs/>
          <w:szCs w:val="26"/>
        </w:rPr>
        <w:t>- Tác động của xe điện sẽ mạnh mẽ hơn khi giá xe giảm, hạ tầng sạc tốt hơn và các chính sách khuyến khích phát huy hiệu quả.</w:t>
      </w:r>
    </w:p>
    <w:p w14:paraId="673B2C0A" w14:textId="77777777" w:rsidR="004F2D73" w:rsidRPr="007B189E" w:rsidRDefault="004F2D73" w:rsidP="004F2D73">
      <w:pPr>
        <w:spacing w:before="60" w:after="60" w:line="360" w:lineRule="exact"/>
        <w:ind w:firstLine="561"/>
        <w:jc w:val="both"/>
        <w:rPr>
          <w:bCs/>
          <w:szCs w:val="26"/>
        </w:rPr>
      </w:pPr>
      <w:r w:rsidRPr="007B189E">
        <w:rPr>
          <w:bCs/>
          <w:szCs w:val="26"/>
        </w:rPr>
        <w:t>- Việc hạn chế phương tiện sử dụng xăng dầu ở các thành phố lớn sẽ được thực thi đầy đủ hơn, gây áp lực giảm sản lượng tại các khu vực này.</w:t>
      </w:r>
    </w:p>
    <w:p w14:paraId="64157B4F" w14:textId="77777777" w:rsidR="004F2D73" w:rsidRPr="007B189E" w:rsidRDefault="004F2D73" w:rsidP="004F2D73">
      <w:pPr>
        <w:spacing w:before="60" w:after="60" w:line="360" w:lineRule="exact"/>
        <w:ind w:firstLine="561"/>
        <w:jc w:val="both"/>
        <w:rPr>
          <w:bCs/>
          <w:szCs w:val="26"/>
        </w:rPr>
      </w:pPr>
      <w:r w:rsidRPr="007B189E">
        <w:rPr>
          <w:bCs/>
          <w:szCs w:val="26"/>
        </w:rPr>
        <w:t>- Tăng trưởng kinh tế và nhu cầu vận tải hàng hóa có thể chỉ đủ để bù đắp một phần sự sụt giảm từ các yếu tố trên. Sản lượng bán xăng dầu truyền thống có thể đạt đỉnh hoặc bắt đầu đi ngang.</w:t>
      </w:r>
    </w:p>
    <w:p w14:paraId="27287352" w14:textId="77777777" w:rsidR="004F2D73" w:rsidRPr="007B189E" w:rsidRDefault="004F2D73" w:rsidP="004F2D73">
      <w:pPr>
        <w:spacing w:before="60" w:after="60" w:line="360" w:lineRule="exact"/>
        <w:ind w:firstLine="561"/>
        <w:jc w:val="both"/>
        <w:rPr>
          <w:bCs/>
          <w:szCs w:val="26"/>
        </w:rPr>
      </w:pPr>
      <w:r w:rsidRPr="007B189E">
        <w:rPr>
          <w:bCs/>
          <w:szCs w:val="26"/>
        </w:rPr>
        <w:t>Như vậy, với các nhận định trên, dự kiến sản lượng kinh doanh xăng dầu của Tập đoàn trong giai đoạn 2026-2030 phấn đấu tăng trưởng bình quân khoảng 7%/năm.</w:t>
      </w:r>
    </w:p>
    <w:p w14:paraId="55DCE0A9" w14:textId="77777777" w:rsidR="004F2D73" w:rsidRPr="007B189E" w:rsidRDefault="004F2D73" w:rsidP="004F2D73">
      <w:pPr>
        <w:spacing w:before="60" w:after="60" w:line="360" w:lineRule="exact"/>
        <w:ind w:firstLine="561"/>
        <w:jc w:val="both"/>
        <w:rPr>
          <w:b/>
          <w:i/>
          <w:iCs/>
          <w:szCs w:val="26"/>
        </w:rPr>
      </w:pPr>
      <w:r w:rsidRPr="007B189E">
        <w:rPr>
          <w:b/>
          <w:i/>
          <w:iCs/>
          <w:szCs w:val="26"/>
        </w:rPr>
        <w:t>b. Về chỉ tiêu tài chính:</w:t>
      </w:r>
    </w:p>
    <w:p w14:paraId="15A3A55D" w14:textId="77777777" w:rsidR="004F2D73" w:rsidRPr="007B189E" w:rsidRDefault="004F2D73" w:rsidP="004F2D73">
      <w:pPr>
        <w:spacing w:before="60" w:after="60" w:line="360" w:lineRule="exact"/>
        <w:ind w:firstLine="561"/>
        <w:jc w:val="both"/>
        <w:rPr>
          <w:bCs/>
          <w:szCs w:val="26"/>
        </w:rPr>
      </w:pPr>
      <w:r w:rsidRPr="007B189E">
        <w:rPr>
          <w:bCs/>
          <w:szCs w:val="26"/>
        </w:rPr>
        <w:t>Hoạt động kinh doanh xăng dầu là ngành hàng chịu tác động trực tiếp và hết sức trọng yếu của diễn biến giá dầu thế giới. Với giả định giá dầu thế giới biến động trong biên độ hẹp và dao động ở mức tương đồng với giá dầu bình quân của giai đoạn 2021 - 2025, Tập đoàn dự kiến như sau:</w:t>
      </w:r>
    </w:p>
    <w:p w14:paraId="420B9ED3" w14:textId="77777777" w:rsidR="004F2D73" w:rsidRPr="007B189E" w:rsidRDefault="004F2D73" w:rsidP="004F2D73">
      <w:pPr>
        <w:spacing w:before="60" w:after="60" w:line="360" w:lineRule="exact"/>
        <w:ind w:firstLine="561"/>
        <w:jc w:val="both"/>
        <w:rPr>
          <w:bCs/>
          <w:szCs w:val="26"/>
        </w:rPr>
      </w:pPr>
      <w:r w:rsidRPr="007B189E">
        <w:rPr>
          <w:b/>
          <w:szCs w:val="26"/>
        </w:rPr>
        <w:t>(i)</w:t>
      </w:r>
      <w:r w:rsidRPr="007B189E">
        <w:rPr>
          <w:bCs/>
          <w:szCs w:val="26"/>
        </w:rPr>
        <w:t xml:space="preserve"> Doanh thu giai đoạn 2026-2030 của Tập đoàn phấn đấu tăng trưởng bình quân không thấp hơn tỷ lệ tăng trưởng sản lượng dự kiến đạt 7%/năm.</w:t>
      </w:r>
    </w:p>
    <w:p w14:paraId="52D8EDC7" w14:textId="77777777" w:rsidR="004F2D73" w:rsidRPr="007B189E" w:rsidRDefault="004F2D73" w:rsidP="004F2D73">
      <w:pPr>
        <w:spacing w:before="60" w:after="60" w:line="360" w:lineRule="exact"/>
        <w:ind w:firstLine="561"/>
        <w:jc w:val="both"/>
        <w:rPr>
          <w:bCs/>
          <w:szCs w:val="26"/>
        </w:rPr>
      </w:pPr>
      <w:r w:rsidRPr="007B189E">
        <w:rPr>
          <w:b/>
          <w:szCs w:val="26"/>
        </w:rPr>
        <w:t>(ii)</w:t>
      </w:r>
      <w:r w:rsidRPr="007B189E">
        <w:rPr>
          <w:bCs/>
          <w:szCs w:val="26"/>
        </w:rPr>
        <w:t xml:space="preserve"> Lợi nhuận giai đoạn 2026-2030 của Tập đoàn phấn đấu tăng trưởng bình quân từ 6-7%/năm.</w:t>
      </w:r>
    </w:p>
    <w:p w14:paraId="6726BF10" w14:textId="77777777" w:rsidR="004F2D73" w:rsidRPr="007B189E" w:rsidRDefault="004F2D73" w:rsidP="004F2D73">
      <w:pPr>
        <w:spacing w:before="60" w:after="60" w:line="360" w:lineRule="exact"/>
        <w:ind w:firstLine="561"/>
        <w:jc w:val="both"/>
        <w:rPr>
          <w:bCs/>
          <w:i/>
          <w:iCs/>
          <w:szCs w:val="26"/>
        </w:rPr>
      </w:pPr>
      <w:r w:rsidRPr="007B189E">
        <w:rPr>
          <w:b/>
          <w:szCs w:val="26"/>
        </w:rPr>
        <w:t>(iii)</w:t>
      </w:r>
      <w:r w:rsidRPr="007B189E">
        <w:rPr>
          <w:bCs/>
          <w:szCs w:val="26"/>
        </w:rPr>
        <w:t xml:space="preserve"> Nộp ngân sách giai đoạn 2026-2030 của Tập đoàn dự kiến tăng trưởng bình quân tương đương 18%/năm </w:t>
      </w:r>
      <w:r w:rsidRPr="007B189E">
        <w:rPr>
          <w:bCs/>
          <w:i/>
          <w:iCs/>
          <w:szCs w:val="26"/>
        </w:rPr>
        <w:t>(trong đó do sản lượng dự kiến tăng bình quân 7%/năm và mức thuế bảo vệ môi trường đối với xăng, dầu, mỡ nhờn thực hiện trở lại theo Nghị quyết số 579/2018/UBTVQH14 từ 01/01/2026).</w:t>
      </w:r>
    </w:p>
    <w:p w14:paraId="7D05FBFC" w14:textId="547CA57F" w:rsidR="004F2D73" w:rsidRPr="007B189E" w:rsidRDefault="004F2D73" w:rsidP="004F2D73">
      <w:pPr>
        <w:spacing w:after="0"/>
        <w:ind w:right="130"/>
        <w:rPr>
          <w:b/>
          <w:bCs/>
          <w:szCs w:val="26"/>
        </w:rPr>
      </w:pPr>
      <w:r w:rsidRPr="007B189E">
        <w:rPr>
          <w:b/>
          <w:szCs w:val="26"/>
        </w:rPr>
        <w:t>(iv)</w:t>
      </w:r>
      <w:r w:rsidRPr="007B189E">
        <w:rPr>
          <w:bCs/>
          <w:szCs w:val="26"/>
        </w:rPr>
        <w:t xml:space="preserve"> Tỷ suất lợi nhuận sau thuế trên vốn CSH của Công ty mẹ dự kiến phấn đấu đạt ở mức từ 6-7%/năm; Phấn đấu chi trả cổ tức đạt bình quân từ 8-10%/năm.</w:t>
      </w:r>
    </w:p>
    <w:sectPr w:rsidR="004F2D73" w:rsidRPr="007B189E" w:rsidSect="002C1D77">
      <w:headerReference w:type="default" r:id="rId12"/>
      <w:footerReference w:type="default" r:id="rId13"/>
      <w:pgSz w:w="11907" w:h="16840" w:code="9"/>
      <w:pgMar w:top="1134" w:right="1134" w:bottom="1134" w:left="1701"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253C2" w14:textId="77777777" w:rsidR="006F3683" w:rsidRDefault="006F3683">
      <w:pPr>
        <w:spacing w:after="0" w:line="240" w:lineRule="auto"/>
      </w:pPr>
      <w:r>
        <w:separator/>
      </w:r>
    </w:p>
  </w:endnote>
  <w:endnote w:type="continuationSeparator" w:id="0">
    <w:p w14:paraId="79D2EBAC" w14:textId="77777777" w:rsidR="006F3683" w:rsidRDefault="006F3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10D57" w14:textId="77777777" w:rsidR="008521F9" w:rsidRPr="0093677E" w:rsidRDefault="008521F9" w:rsidP="00ED2A30">
    <w:pPr>
      <w:spacing w:after="39"/>
      <w:ind w:left="-15" w:right="-6404" w:hanging="15"/>
      <w:rPr>
        <w:rFonts w:eastAsia="Times New Roman"/>
        <w:b/>
        <w:bCs/>
        <w:color w:val="A6A6A6" w:themeColor="background1" w:themeShade="A6"/>
        <w:sz w:val="22"/>
      </w:rPr>
    </w:pPr>
    <w:r w:rsidRPr="0093677E">
      <w:rPr>
        <w:rFonts w:eastAsia="Times New Roman"/>
        <w:b/>
        <w:bCs/>
        <w:noProof/>
        <w:color w:val="A6A6A6" w:themeColor="background1" w:themeShade="A6"/>
        <w:sz w:val="22"/>
        <w:lang w:eastAsia="en-GB"/>
      </w:rPr>
      <mc:AlternateContent>
        <mc:Choice Requires="wps">
          <w:drawing>
            <wp:anchor distT="0" distB="0" distL="114300" distR="114300" simplePos="0" relativeHeight="251658240" behindDoc="0" locked="0" layoutInCell="1" allowOverlap="1" wp14:anchorId="440C6BA1" wp14:editId="2B89D43C">
              <wp:simplePos x="0" y="0"/>
              <wp:positionH relativeFrom="column">
                <wp:posOffset>-8890</wp:posOffset>
              </wp:positionH>
              <wp:positionV relativeFrom="paragraph">
                <wp:posOffset>142875</wp:posOffset>
              </wp:positionV>
              <wp:extent cx="5760000" cy="0"/>
              <wp:effectExtent l="0" t="0" r="6350" b="12700"/>
              <wp:wrapNone/>
              <wp:docPr id="8" name="Straight Connector 8"/>
              <wp:cNvGraphicFramePr/>
              <a:graphic xmlns:a="http://schemas.openxmlformats.org/drawingml/2006/main">
                <a:graphicData uri="http://schemas.microsoft.com/office/word/2010/wordprocessingShape">
                  <wps:wsp>
                    <wps:cNvCnPr/>
                    <wps:spPr>
                      <a:xfrm>
                        <a:off x="0" y="0"/>
                        <a:ext cx="57600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75DA05" id="Straight Connector 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25pt" to="452.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" strokecolor="black [3200]" strokeweight="1pt">
              <v:stroke joinstyle="miter"/>
            </v:line>
          </w:pict>
        </mc:Fallback>
      </mc:AlternateContent>
    </w:r>
  </w:p>
  <w:p w14:paraId="066997F4" w14:textId="77777777" w:rsidR="008521F9" w:rsidRPr="0093677E" w:rsidRDefault="008521F9" w:rsidP="00ED2A30">
    <w:pPr>
      <w:spacing w:after="39"/>
      <w:ind w:left="-15" w:right="-6404" w:hanging="15"/>
      <w:rPr>
        <w:rFonts w:eastAsia="Times New Roman"/>
        <w:color w:val="A6A6A6" w:themeColor="background1" w:themeShade="A6"/>
      </w:rPr>
    </w:pPr>
    <w:r w:rsidRPr="0093677E">
      <w:rPr>
        <w:rFonts w:eastAsia="Times New Roman"/>
        <w:b/>
        <w:bCs/>
        <w:color w:val="A6A6A6" w:themeColor="background1" w:themeShade="A6"/>
        <w:sz w:val="22"/>
      </w:rPr>
      <w:t xml:space="preserve">Tập đoàn Xăng dầu Việt Nam           </w:t>
    </w:r>
    <w:r w:rsidRPr="0093677E">
      <w:rPr>
        <w:rFonts w:eastAsia="Times New Roman"/>
        <w:color w:val="A6A6A6" w:themeColor="background1" w:themeShade="A6"/>
        <w:sz w:val="22"/>
      </w:rPr>
      <w:t>Số 1 Khâm Thiên, Phường Văn Miếu – Quốc Tử Giám, Hà Nội</w:t>
    </w:r>
  </w:p>
  <w:p w14:paraId="1BF71AD9" w14:textId="77777777" w:rsidR="008521F9" w:rsidRPr="00ED2A30" w:rsidRDefault="008521F9" w:rsidP="00ED2A30">
    <w:pPr>
      <w:rPr>
        <w:rFonts w:eastAsia="Times New Roman"/>
        <w:color w:val="A6A6A6" w:themeColor="background1" w:themeShade="A6"/>
      </w:rPr>
    </w:pPr>
    <w:hyperlink r:id="rId1" w:history="1">
      <w:r w:rsidRPr="0093677E">
        <w:rPr>
          <w:rFonts w:eastAsia="Times New Roman"/>
          <w:color w:val="A6A6A6" w:themeColor="background1" w:themeShade="A6"/>
          <w:sz w:val="22"/>
        </w:rPr>
        <w:t>www.petrolimex.com.vn</w:t>
      </w:r>
    </w:hyperlink>
    <w:r w:rsidRPr="0093677E">
      <w:rPr>
        <w:rFonts w:eastAsia="Times New Roman"/>
        <w:color w:val="A6A6A6" w:themeColor="background1" w:themeShade="A6"/>
        <w:sz w:val="22"/>
      </w:rPr>
      <w:t xml:space="preserve">                      </w:t>
    </w:r>
    <w:r w:rsidRPr="0093677E">
      <w:rPr>
        <w:rFonts w:eastAsia="Times New Roman"/>
        <w:b/>
        <w:bCs/>
        <w:color w:val="A6A6A6" w:themeColor="background1" w:themeShade="A6"/>
        <w:sz w:val="22"/>
      </w:rPr>
      <w:t>ĐT</w:t>
    </w:r>
    <w:r w:rsidRPr="0093677E">
      <w:rPr>
        <w:rFonts w:eastAsia="Times New Roman"/>
        <w:color w:val="A6A6A6" w:themeColor="background1" w:themeShade="A6"/>
        <w:sz w:val="22"/>
      </w:rPr>
      <w:t xml:space="preserve"> (024) 3851-2603   |   </w:t>
    </w:r>
    <w:r w:rsidRPr="0093677E">
      <w:rPr>
        <w:rFonts w:eastAsia="Times New Roman"/>
        <w:b/>
        <w:bCs/>
        <w:color w:val="A6A6A6" w:themeColor="background1" w:themeShade="A6"/>
        <w:sz w:val="22"/>
      </w:rPr>
      <w:t>Fax</w:t>
    </w:r>
    <w:r w:rsidRPr="0093677E">
      <w:rPr>
        <w:rFonts w:eastAsia="Times New Roman"/>
        <w:color w:val="A6A6A6" w:themeColor="background1" w:themeShade="A6"/>
        <w:sz w:val="22"/>
      </w:rPr>
      <w:t xml:space="preserve"> (024) 3851-9203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9CB69" w14:textId="77777777" w:rsidR="006F3683" w:rsidRDefault="006F3683">
      <w:pPr>
        <w:spacing w:after="0" w:line="240" w:lineRule="auto"/>
      </w:pPr>
      <w:r>
        <w:separator/>
      </w:r>
    </w:p>
  </w:footnote>
  <w:footnote w:type="continuationSeparator" w:id="0">
    <w:p w14:paraId="6E892D10" w14:textId="77777777" w:rsidR="006F3683" w:rsidRDefault="006F3683">
      <w:pPr>
        <w:spacing w:after="0" w:line="240" w:lineRule="auto"/>
      </w:pPr>
      <w:r>
        <w:continuationSeparator/>
      </w:r>
    </w:p>
  </w:footnote>
  <w:footnote w:id="1">
    <w:p w14:paraId="26CC0FA8" w14:textId="6A717014" w:rsidR="006E3415" w:rsidRPr="005C4DDA" w:rsidRDefault="006E3415" w:rsidP="006E3415">
      <w:pPr>
        <w:spacing w:after="0" w:line="240" w:lineRule="auto"/>
        <w:ind w:firstLine="562"/>
        <w:jc w:val="both"/>
        <w:rPr>
          <w:bCs/>
          <w:i/>
          <w:iCs/>
          <w:sz w:val="20"/>
          <w:szCs w:val="20"/>
        </w:rPr>
      </w:pPr>
      <w:r w:rsidRPr="005C4DDA">
        <w:rPr>
          <w:rStyle w:val="FootnoteReference"/>
          <w:i/>
          <w:iCs/>
          <w:sz w:val="20"/>
          <w:szCs w:val="20"/>
        </w:rPr>
        <w:footnoteRef/>
      </w:r>
      <w:r w:rsidRPr="005C4DDA">
        <w:rPr>
          <w:i/>
          <w:iCs/>
          <w:sz w:val="20"/>
          <w:szCs w:val="20"/>
        </w:rPr>
        <w:t xml:space="preserve"> </w:t>
      </w:r>
      <w:r w:rsidRPr="005C4DDA">
        <w:rPr>
          <w:bCs/>
          <w:i/>
          <w:iCs/>
          <w:sz w:val="20"/>
          <w:szCs w:val="20"/>
        </w:rPr>
        <w:t>Tính chung năm 2025, vận tải hàng hóa ước đạt 3.027,7 triệu tấn hàng hóa vận chuyển, tăng 14,1% so với năm trước và luân chuyển 612,3 tỷ tấn.km, tăng 13,1%; vận tải hành khách ước đạt 6.183,6 triệu lượt khách vận chuyển, tăng 22,2% so với năm trước và luân chuyển đạt 312,0 tỷ lượt khách.km, tăng 13,6% (nguồn Tổng cục Thống kê)</w:t>
      </w:r>
    </w:p>
    <w:p w14:paraId="6C816D7D" w14:textId="7D8178F8" w:rsidR="006E3415" w:rsidRDefault="006E3415">
      <w:pPr>
        <w:pStyle w:val="FootnoteText"/>
      </w:pPr>
    </w:p>
  </w:footnote>
  <w:footnote w:id="2">
    <w:p w14:paraId="445C47AB" w14:textId="574494A5" w:rsidR="003A14B5" w:rsidRDefault="003A14B5">
      <w:pPr>
        <w:pStyle w:val="FootnoteText"/>
      </w:pPr>
      <w:r>
        <w:rPr>
          <w:rStyle w:val="FootnoteReference"/>
        </w:rPr>
        <w:footnoteRef/>
      </w:r>
      <w:r>
        <w:t xml:space="preserve"> </w:t>
      </w:r>
      <w:r w:rsidRPr="00D83F4F">
        <w:rPr>
          <w:i/>
          <w:iCs/>
        </w:rPr>
        <w:t>Dự kiến trình ĐHĐCĐ TN năm 2026 Tập đoàn thông qua tỷ lệ chia cổ tức năm 2025 là 12%</w:t>
      </w:r>
    </w:p>
  </w:footnote>
  <w:footnote w:id="3">
    <w:p w14:paraId="4EA4E083" w14:textId="2E482E55" w:rsidR="00420E3B" w:rsidRPr="00E92DF5" w:rsidRDefault="00420E3B" w:rsidP="00D83F4F">
      <w:pPr>
        <w:pStyle w:val="FootnoteText"/>
        <w:spacing w:line="240" w:lineRule="exact"/>
        <w:rPr>
          <w:i/>
          <w:iCs/>
        </w:rPr>
      </w:pPr>
      <w:r w:rsidRPr="00E92DF5">
        <w:rPr>
          <w:rStyle w:val="FootnoteReference"/>
          <w:i/>
          <w:iCs/>
        </w:rPr>
        <w:footnoteRef/>
      </w:r>
      <w:r w:rsidRPr="00E92DF5">
        <w:rPr>
          <w:i/>
          <w:iCs/>
        </w:rPr>
        <w:t xml:space="preserve"> </w:t>
      </w:r>
      <w:r w:rsidR="008829F3" w:rsidRPr="00E92DF5">
        <w:rPr>
          <w:i/>
          <w:iCs/>
        </w:rPr>
        <w:t xml:space="preserve">Số liệu </w:t>
      </w:r>
      <w:r w:rsidR="008E2E48" w:rsidRPr="00E92DF5">
        <w:rPr>
          <w:i/>
          <w:iCs/>
        </w:rPr>
        <w:t xml:space="preserve">đã được Nhóm đại diện Vốn Nhà nước tại Tập đoàn gửi báo cáo Bộ Tài Chính </w:t>
      </w:r>
      <w:r w:rsidR="008829F3" w:rsidRPr="00E92DF5">
        <w:rPr>
          <w:i/>
          <w:iCs/>
        </w:rPr>
        <w:t xml:space="preserve">theo văn bản </w:t>
      </w:r>
      <w:r w:rsidR="00584ED2" w:rsidRPr="00E92DF5">
        <w:rPr>
          <w:i/>
          <w:iCs/>
        </w:rPr>
        <w:t xml:space="preserve">1257/PLX-HĐQT, ngày 30/05/2025 về báo cáo định hướng xây dựng KH giai đoạn </w:t>
      </w:r>
      <w:r w:rsidR="008E2E48" w:rsidRPr="00E92DF5">
        <w:rPr>
          <w:i/>
          <w:iCs/>
        </w:rPr>
        <w:t>2</w:t>
      </w:r>
      <w:r w:rsidR="00584ED2" w:rsidRPr="00E92DF5">
        <w:rPr>
          <w:i/>
          <w:iCs/>
        </w:rPr>
        <w:t>026 - 2030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343468"/>
      <w:docPartObj>
        <w:docPartGallery w:val="Page Numbers (Top of Page)"/>
        <w:docPartUnique/>
      </w:docPartObj>
    </w:sdtPr>
    <w:sdtEndPr>
      <w:rPr>
        <w:noProof/>
      </w:rPr>
    </w:sdtEndPr>
    <w:sdtContent>
      <w:p w14:paraId="2802C973" w14:textId="69E60FA1" w:rsidR="009C435F" w:rsidRDefault="009C435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12CCEFC" w14:textId="77777777" w:rsidR="009C435F" w:rsidRDefault="009C4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43F"/>
    <w:multiLevelType w:val="hybridMultilevel"/>
    <w:tmpl w:val="7750A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080986"/>
    <w:multiLevelType w:val="multilevel"/>
    <w:tmpl w:val="6AA0E72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584941BB"/>
    <w:multiLevelType w:val="hybridMultilevel"/>
    <w:tmpl w:val="CCF2F836"/>
    <w:lvl w:ilvl="0" w:tplc="47C22A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32471A"/>
    <w:multiLevelType w:val="hybridMultilevel"/>
    <w:tmpl w:val="77521FCC"/>
    <w:lvl w:ilvl="0" w:tplc="38FA2C3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700655">
    <w:abstractNumId w:val="3"/>
  </w:num>
  <w:num w:numId="2" w16cid:durableId="435903590">
    <w:abstractNumId w:val="2"/>
  </w:num>
  <w:num w:numId="3" w16cid:durableId="2006742364">
    <w:abstractNumId w:val="1"/>
  </w:num>
  <w:num w:numId="4" w16cid:durableId="358514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F9"/>
    <w:rsid w:val="000014BC"/>
    <w:rsid w:val="00005A8F"/>
    <w:rsid w:val="00011AD6"/>
    <w:rsid w:val="000149D6"/>
    <w:rsid w:val="00017140"/>
    <w:rsid w:val="00017BCA"/>
    <w:rsid w:val="0002030A"/>
    <w:rsid w:val="00023E79"/>
    <w:rsid w:val="00034A31"/>
    <w:rsid w:val="00036CA4"/>
    <w:rsid w:val="00056ACB"/>
    <w:rsid w:val="000642AB"/>
    <w:rsid w:val="000670D1"/>
    <w:rsid w:val="000719B5"/>
    <w:rsid w:val="00072D41"/>
    <w:rsid w:val="00074CAD"/>
    <w:rsid w:val="00074F76"/>
    <w:rsid w:val="000835B4"/>
    <w:rsid w:val="00087D40"/>
    <w:rsid w:val="00094D29"/>
    <w:rsid w:val="000961A6"/>
    <w:rsid w:val="00097A1A"/>
    <w:rsid w:val="000A060B"/>
    <w:rsid w:val="000A3FB3"/>
    <w:rsid w:val="000B462B"/>
    <w:rsid w:val="000C4BF0"/>
    <w:rsid w:val="000C71D3"/>
    <w:rsid w:val="000D03B2"/>
    <w:rsid w:val="000D1335"/>
    <w:rsid w:val="000D3B70"/>
    <w:rsid w:val="000E6F77"/>
    <w:rsid w:val="000E6F7A"/>
    <w:rsid w:val="000F1955"/>
    <w:rsid w:val="000F477D"/>
    <w:rsid w:val="000F571C"/>
    <w:rsid w:val="00102926"/>
    <w:rsid w:val="00102FC9"/>
    <w:rsid w:val="001069D3"/>
    <w:rsid w:val="001135C8"/>
    <w:rsid w:val="00114AFF"/>
    <w:rsid w:val="00120C3C"/>
    <w:rsid w:val="00130CF2"/>
    <w:rsid w:val="00134B2C"/>
    <w:rsid w:val="00135A8E"/>
    <w:rsid w:val="00143ACC"/>
    <w:rsid w:val="001551A9"/>
    <w:rsid w:val="00163680"/>
    <w:rsid w:val="001653DA"/>
    <w:rsid w:val="00170E3C"/>
    <w:rsid w:val="00186143"/>
    <w:rsid w:val="00192D57"/>
    <w:rsid w:val="001A1559"/>
    <w:rsid w:val="001A4335"/>
    <w:rsid w:val="001A49C5"/>
    <w:rsid w:val="001A7380"/>
    <w:rsid w:val="001B0849"/>
    <w:rsid w:val="001B4735"/>
    <w:rsid w:val="001B6CCE"/>
    <w:rsid w:val="001C28EB"/>
    <w:rsid w:val="001C50B3"/>
    <w:rsid w:val="001C7528"/>
    <w:rsid w:val="001D6D3C"/>
    <w:rsid w:val="001F77B9"/>
    <w:rsid w:val="002009E2"/>
    <w:rsid w:val="00200FB6"/>
    <w:rsid w:val="002119DD"/>
    <w:rsid w:val="00212C3B"/>
    <w:rsid w:val="00225A29"/>
    <w:rsid w:val="00230107"/>
    <w:rsid w:val="00241857"/>
    <w:rsid w:val="00241C23"/>
    <w:rsid w:val="002441C8"/>
    <w:rsid w:val="002451A2"/>
    <w:rsid w:val="00246D99"/>
    <w:rsid w:val="00251C7C"/>
    <w:rsid w:val="00251D00"/>
    <w:rsid w:val="00252B66"/>
    <w:rsid w:val="00253B58"/>
    <w:rsid w:val="002549AE"/>
    <w:rsid w:val="00256324"/>
    <w:rsid w:val="00262C21"/>
    <w:rsid w:val="00263FAB"/>
    <w:rsid w:val="00270FE7"/>
    <w:rsid w:val="002728ED"/>
    <w:rsid w:val="0027356B"/>
    <w:rsid w:val="00280734"/>
    <w:rsid w:val="00282781"/>
    <w:rsid w:val="00290E0B"/>
    <w:rsid w:val="00291C54"/>
    <w:rsid w:val="00293D52"/>
    <w:rsid w:val="002A1FBA"/>
    <w:rsid w:val="002B2FD8"/>
    <w:rsid w:val="002C1D77"/>
    <w:rsid w:val="002C7928"/>
    <w:rsid w:val="002D78F6"/>
    <w:rsid w:val="002D7963"/>
    <w:rsid w:val="003150A5"/>
    <w:rsid w:val="003226B4"/>
    <w:rsid w:val="003247B5"/>
    <w:rsid w:val="00331019"/>
    <w:rsid w:val="00333B01"/>
    <w:rsid w:val="003419CC"/>
    <w:rsid w:val="00354FB9"/>
    <w:rsid w:val="00355B7C"/>
    <w:rsid w:val="00383BAA"/>
    <w:rsid w:val="00384574"/>
    <w:rsid w:val="00385507"/>
    <w:rsid w:val="00392A56"/>
    <w:rsid w:val="0039368E"/>
    <w:rsid w:val="00395192"/>
    <w:rsid w:val="00395B3D"/>
    <w:rsid w:val="003A14B5"/>
    <w:rsid w:val="003A31F3"/>
    <w:rsid w:val="003A41D6"/>
    <w:rsid w:val="003C4465"/>
    <w:rsid w:val="003C4AB0"/>
    <w:rsid w:val="003D1560"/>
    <w:rsid w:val="003D602E"/>
    <w:rsid w:val="003D7BDA"/>
    <w:rsid w:val="003E0BF4"/>
    <w:rsid w:val="003E327D"/>
    <w:rsid w:val="003E5CE1"/>
    <w:rsid w:val="003F221C"/>
    <w:rsid w:val="00401153"/>
    <w:rsid w:val="00403E19"/>
    <w:rsid w:val="00412FE9"/>
    <w:rsid w:val="00413EF0"/>
    <w:rsid w:val="00420E3B"/>
    <w:rsid w:val="004316C1"/>
    <w:rsid w:val="0044150D"/>
    <w:rsid w:val="004427F8"/>
    <w:rsid w:val="00453349"/>
    <w:rsid w:val="004539B8"/>
    <w:rsid w:val="00455C13"/>
    <w:rsid w:val="00456927"/>
    <w:rsid w:val="0046300E"/>
    <w:rsid w:val="004631B1"/>
    <w:rsid w:val="00477373"/>
    <w:rsid w:val="00493FAE"/>
    <w:rsid w:val="004A44E9"/>
    <w:rsid w:val="004A79A7"/>
    <w:rsid w:val="004B41D9"/>
    <w:rsid w:val="004B7B79"/>
    <w:rsid w:val="004C081F"/>
    <w:rsid w:val="004C0E0A"/>
    <w:rsid w:val="004C7BB0"/>
    <w:rsid w:val="004D677E"/>
    <w:rsid w:val="004E2BEF"/>
    <w:rsid w:val="004F03A5"/>
    <w:rsid w:val="004F2D73"/>
    <w:rsid w:val="00500540"/>
    <w:rsid w:val="00505981"/>
    <w:rsid w:val="00505C99"/>
    <w:rsid w:val="00510FF6"/>
    <w:rsid w:val="00511EE4"/>
    <w:rsid w:val="005143E3"/>
    <w:rsid w:val="0051632E"/>
    <w:rsid w:val="00521FC1"/>
    <w:rsid w:val="005224D3"/>
    <w:rsid w:val="005251C8"/>
    <w:rsid w:val="00532B96"/>
    <w:rsid w:val="00546D84"/>
    <w:rsid w:val="00554198"/>
    <w:rsid w:val="00555068"/>
    <w:rsid w:val="005577E9"/>
    <w:rsid w:val="005608FF"/>
    <w:rsid w:val="00564FE2"/>
    <w:rsid w:val="00566656"/>
    <w:rsid w:val="0057072D"/>
    <w:rsid w:val="0058036C"/>
    <w:rsid w:val="00583D1A"/>
    <w:rsid w:val="00584CB4"/>
    <w:rsid w:val="00584ED2"/>
    <w:rsid w:val="005912FD"/>
    <w:rsid w:val="00594DA8"/>
    <w:rsid w:val="0059661D"/>
    <w:rsid w:val="005A04F8"/>
    <w:rsid w:val="005A601D"/>
    <w:rsid w:val="005A7439"/>
    <w:rsid w:val="005B0719"/>
    <w:rsid w:val="005B33BD"/>
    <w:rsid w:val="005B75DC"/>
    <w:rsid w:val="005C24D2"/>
    <w:rsid w:val="005C4DDA"/>
    <w:rsid w:val="005C68F2"/>
    <w:rsid w:val="005C7D6D"/>
    <w:rsid w:val="005D43F9"/>
    <w:rsid w:val="005D6337"/>
    <w:rsid w:val="005E3CC9"/>
    <w:rsid w:val="005E4890"/>
    <w:rsid w:val="005F4585"/>
    <w:rsid w:val="006014F1"/>
    <w:rsid w:val="006022F5"/>
    <w:rsid w:val="00603700"/>
    <w:rsid w:val="006056CA"/>
    <w:rsid w:val="00610FB9"/>
    <w:rsid w:val="006114AA"/>
    <w:rsid w:val="00612662"/>
    <w:rsid w:val="00622389"/>
    <w:rsid w:val="0062262F"/>
    <w:rsid w:val="0062562F"/>
    <w:rsid w:val="00643F07"/>
    <w:rsid w:val="006460D3"/>
    <w:rsid w:val="006475EB"/>
    <w:rsid w:val="006506DD"/>
    <w:rsid w:val="00650F3E"/>
    <w:rsid w:val="006532BE"/>
    <w:rsid w:val="0065462F"/>
    <w:rsid w:val="00655A4C"/>
    <w:rsid w:val="00656575"/>
    <w:rsid w:val="006625D7"/>
    <w:rsid w:val="00663723"/>
    <w:rsid w:val="006640E1"/>
    <w:rsid w:val="006673DC"/>
    <w:rsid w:val="0067051B"/>
    <w:rsid w:val="0067084B"/>
    <w:rsid w:val="006767EC"/>
    <w:rsid w:val="00680AE3"/>
    <w:rsid w:val="00680D36"/>
    <w:rsid w:val="00682AD9"/>
    <w:rsid w:val="006832D6"/>
    <w:rsid w:val="00691C99"/>
    <w:rsid w:val="006A4007"/>
    <w:rsid w:val="006A609C"/>
    <w:rsid w:val="006A7D4D"/>
    <w:rsid w:val="006A7E81"/>
    <w:rsid w:val="006B0134"/>
    <w:rsid w:val="006B1808"/>
    <w:rsid w:val="006B35EB"/>
    <w:rsid w:val="006C1E45"/>
    <w:rsid w:val="006C71A6"/>
    <w:rsid w:val="006D2CB4"/>
    <w:rsid w:val="006D57C7"/>
    <w:rsid w:val="006E04C0"/>
    <w:rsid w:val="006E3042"/>
    <w:rsid w:val="006E3415"/>
    <w:rsid w:val="006F0B95"/>
    <w:rsid w:val="006F3683"/>
    <w:rsid w:val="00703E97"/>
    <w:rsid w:val="00705AF3"/>
    <w:rsid w:val="0072165D"/>
    <w:rsid w:val="00737F56"/>
    <w:rsid w:val="0074205E"/>
    <w:rsid w:val="00743245"/>
    <w:rsid w:val="00747B6D"/>
    <w:rsid w:val="007512C8"/>
    <w:rsid w:val="00756C86"/>
    <w:rsid w:val="0076142E"/>
    <w:rsid w:val="00761E30"/>
    <w:rsid w:val="00764757"/>
    <w:rsid w:val="0076532F"/>
    <w:rsid w:val="00765344"/>
    <w:rsid w:val="007658EC"/>
    <w:rsid w:val="0077003F"/>
    <w:rsid w:val="00775F4D"/>
    <w:rsid w:val="00777FEC"/>
    <w:rsid w:val="00794787"/>
    <w:rsid w:val="007979A2"/>
    <w:rsid w:val="007A7A8C"/>
    <w:rsid w:val="007B189E"/>
    <w:rsid w:val="007B19B9"/>
    <w:rsid w:val="007B2996"/>
    <w:rsid w:val="007B692A"/>
    <w:rsid w:val="007D23DA"/>
    <w:rsid w:val="007D24F3"/>
    <w:rsid w:val="007E7010"/>
    <w:rsid w:val="007F24E0"/>
    <w:rsid w:val="00807109"/>
    <w:rsid w:val="0081216D"/>
    <w:rsid w:val="00816555"/>
    <w:rsid w:val="00816E94"/>
    <w:rsid w:val="00820F05"/>
    <w:rsid w:val="00843667"/>
    <w:rsid w:val="00847833"/>
    <w:rsid w:val="00850C57"/>
    <w:rsid w:val="008521F9"/>
    <w:rsid w:val="00855B97"/>
    <w:rsid w:val="008577F2"/>
    <w:rsid w:val="008671B0"/>
    <w:rsid w:val="0087044B"/>
    <w:rsid w:val="008770CA"/>
    <w:rsid w:val="0088145D"/>
    <w:rsid w:val="0088267F"/>
    <w:rsid w:val="008829F3"/>
    <w:rsid w:val="00896A80"/>
    <w:rsid w:val="008A036D"/>
    <w:rsid w:val="008A16FA"/>
    <w:rsid w:val="008A425E"/>
    <w:rsid w:val="008B6CDE"/>
    <w:rsid w:val="008B7B85"/>
    <w:rsid w:val="008C4AA7"/>
    <w:rsid w:val="008D2CDF"/>
    <w:rsid w:val="008D5198"/>
    <w:rsid w:val="008D5D91"/>
    <w:rsid w:val="008E25A2"/>
    <w:rsid w:val="008E2E48"/>
    <w:rsid w:val="008E5408"/>
    <w:rsid w:val="008F373C"/>
    <w:rsid w:val="008F4C1D"/>
    <w:rsid w:val="009010C3"/>
    <w:rsid w:val="0090303D"/>
    <w:rsid w:val="009060B2"/>
    <w:rsid w:val="0091507B"/>
    <w:rsid w:val="0092048D"/>
    <w:rsid w:val="00924682"/>
    <w:rsid w:val="00932E0C"/>
    <w:rsid w:val="00945D35"/>
    <w:rsid w:val="00950520"/>
    <w:rsid w:val="00952F4C"/>
    <w:rsid w:val="0095326C"/>
    <w:rsid w:val="0095711B"/>
    <w:rsid w:val="0095711D"/>
    <w:rsid w:val="00960632"/>
    <w:rsid w:val="0096675D"/>
    <w:rsid w:val="00970A2D"/>
    <w:rsid w:val="00970F2E"/>
    <w:rsid w:val="00973ECB"/>
    <w:rsid w:val="0097465E"/>
    <w:rsid w:val="0097535C"/>
    <w:rsid w:val="009A2409"/>
    <w:rsid w:val="009A5AC7"/>
    <w:rsid w:val="009B2F12"/>
    <w:rsid w:val="009C1F49"/>
    <w:rsid w:val="009C435F"/>
    <w:rsid w:val="009C490D"/>
    <w:rsid w:val="009C4B56"/>
    <w:rsid w:val="009C59F7"/>
    <w:rsid w:val="009C5F3B"/>
    <w:rsid w:val="009C7C30"/>
    <w:rsid w:val="009D0E79"/>
    <w:rsid w:val="009D2238"/>
    <w:rsid w:val="009E7C76"/>
    <w:rsid w:val="009F33D2"/>
    <w:rsid w:val="00A0141A"/>
    <w:rsid w:val="00A057E7"/>
    <w:rsid w:val="00A105DC"/>
    <w:rsid w:val="00A207D1"/>
    <w:rsid w:val="00A20DFD"/>
    <w:rsid w:val="00A36C3B"/>
    <w:rsid w:val="00A43E78"/>
    <w:rsid w:val="00A47FEE"/>
    <w:rsid w:val="00A54021"/>
    <w:rsid w:val="00A56292"/>
    <w:rsid w:val="00A71A45"/>
    <w:rsid w:val="00A73750"/>
    <w:rsid w:val="00A867FB"/>
    <w:rsid w:val="00A93B67"/>
    <w:rsid w:val="00AA11DF"/>
    <w:rsid w:val="00AA3285"/>
    <w:rsid w:val="00AA6633"/>
    <w:rsid w:val="00AB0E7F"/>
    <w:rsid w:val="00AB2A6C"/>
    <w:rsid w:val="00AC2AC9"/>
    <w:rsid w:val="00AD223D"/>
    <w:rsid w:val="00AD6B1E"/>
    <w:rsid w:val="00AE21FD"/>
    <w:rsid w:val="00AE2CF8"/>
    <w:rsid w:val="00AF5DAD"/>
    <w:rsid w:val="00AF6D95"/>
    <w:rsid w:val="00B07742"/>
    <w:rsid w:val="00B26511"/>
    <w:rsid w:val="00B41546"/>
    <w:rsid w:val="00B46C89"/>
    <w:rsid w:val="00B47F5C"/>
    <w:rsid w:val="00B61618"/>
    <w:rsid w:val="00B627A4"/>
    <w:rsid w:val="00B651E0"/>
    <w:rsid w:val="00B70CEF"/>
    <w:rsid w:val="00B72C6F"/>
    <w:rsid w:val="00B8689F"/>
    <w:rsid w:val="00B9015B"/>
    <w:rsid w:val="00B952C8"/>
    <w:rsid w:val="00B9611D"/>
    <w:rsid w:val="00BA0041"/>
    <w:rsid w:val="00BA1C71"/>
    <w:rsid w:val="00BB4AC5"/>
    <w:rsid w:val="00BB61B0"/>
    <w:rsid w:val="00BC0D15"/>
    <w:rsid w:val="00BC4365"/>
    <w:rsid w:val="00BC497B"/>
    <w:rsid w:val="00BD315C"/>
    <w:rsid w:val="00BD3B5E"/>
    <w:rsid w:val="00BD425C"/>
    <w:rsid w:val="00BE4069"/>
    <w:rsid w:val="00BE4404"/>
    <w:rsid w:val="00BE6194"/>
    <w:rsid w:val="00BF0A2D"/>
    <w:rsid w:val="00BF39DE"/>
    <w:rsid w:val="00BF4241"/>
    <w:rsid w:val="00BF6CD2"/>
    <w:rsid w:val="00C075E4"/>
    <w:rsid w:val="00C1276D"/>
    <w:rsid w:val="00C156AA"/>
    <w:rsid w:val="00C161A5"/>
    <w:rsid w:val="00C30C82"/>
    <w:rsid w:val="00C348DD"/>
    <w:rsid w:val="00C462B8"/>
    <w:rsid w:val="00C47EEB"/>
    <w:rsid w:val="00C570D7"/>
    <w:rsid w:val="00C57824"/>
    <w:rsid w:val="00C63C13"/>
    <w:rsid w:val="00C64671"/>
    <w:rsid w:val="00C6546E"/>
    <w:rsid w:val="00C66FF6"/>
    <w:rsid w:val="00C71D93"/>
    <w:rsid w:val="00C73510"/>
    <w:rsid w:val="00C8032F"/>
    <w:rsid w:val="00CA4D82"/>
    <w:rsid w:val="00CA6577"/>
    <w:rsid w:val="00CB6159"/>
    <w:rsid w:val="00CC67B0"/>
    <w:rsid w:val="00CD573F"/>
    <w:rsid w:val="00CD5FCD"/>
    <w:rsid w:val="00CD6560"/>
    <w:rsid w:val="00CE6076"/>
    <w:rsid w:val="00CF6A4A"/>
    <w:rsid w:val="00D03D30"/>
    <w:rsid w:val="00D10C43"/>
    <w:rsid w:val="00D26FA6"/>
    <w:rsid w:val="00D32A70"/>
    <w:rsid w:val="00D43011"/>
    <w:rsid w:val="00D61F98"/>
    <w:rsid w:val="00D63F09"/>
    <w:rsid w:val="00D83F4F"/>
    <w:rsid w:val="00D84CB6"/>
    <w:rsid w:val="00D84F3E"/>
    <w:rsid w:val="00D85626"/>
    <w:rsid w:val="00D90ED4"/>
    <w:rsid w:val="00D96E36"/>
    <w:rsid w:val="00DA1274"/>
    <w:rsid w:val="00DA337C"/>
    <w:rsid w:val="00DA7133"/>
    <w:rsid w:val="00DB2A74"/>
    <w:rsid w:val="00DB72F0"/>
    <w:rsid w:val="00DC0834"/>
    <w:rsid w:val="00DC1240"/>
    <w:rsid w:val="00DC261C"/>
    <w:rsid w:val="00DC7569"/>
    <w:rsid w:val="00DD5CE3"/>
    <w:rsid w:val="00DE346C"/>
    <w:rsid w:val="00DF0EED"/>
    <w:rsid w:val="00DF4DDF"/>
    <w:rsid w:val="00E00AF7"/>
    <w:rsid w:val="00E016FC"/>
    <w:rsid w:val="00E01A05"/>
    <w:rsid w:val="00E06794"/>
    <w:rsid w:val="00E21EF1"/>
    <w:rsid w:val="00E23D34"/>
    <w:rsid w:val="00E263F1"/>
    <w:rsid w:val="00E30ADF"/>
    <w:rsid w:val="00E34659"/>
    <w:rsid w:val="00E4320B"/>
    <w:rsid w:val="00E51A06"/>
    <w:rsid w:val="00E563ED"/>
    <w:rsid w:val="00E60314"/>
    <w:rsid w:val="00E64AF3"/>
    <w:rsid w:val="00E70F3B"/>
    <w:rsid w:val="00E80E29"/>
    <w:rsid w:val="00E85D0C"/>
    <w:rsid w:val="00E876C7"/>
    <w:rsid w:val="00E92DF5"/>
    <w:rsid w:val="00EA1377"/>
    <w:rsid w:val="00EA1F42"/>
    <w:rsid w:val="00EA3C61"/>
    <w:rsid w:val="00EA3F79"/>
    <w:rsid w:val="00EA3FC7"/>
    <w:rsid w:val="00EB66DD"/>
    <w:rsid w:val="00EC19CE"/>
    <w:rsid w:val="00EC22BB"/>
    <w:rsid w:val="00EC2C32"/>
    <w:rsid w:val="00EC417B"/>
    <w:rsid w:val="00EC7D1B"/>
    <w:rsid w:val="00ED664F"/>
    <w:rsid w:val="00F03AA0"/>
    <w:rsid w:val="00F07937"/>
    <w:rsid w:val="00F11832"/>
    <w:rsid w:val="00F120B6"/>
    <w:rsid w:val="00F14DCF"/>
    <w:rsid w:val="00F23921"/>
    <w:rsid w:val="00F2661A"/>
    <w:rsid w:val="00F312C2"/>
    <w:rsid w:val="00F31593"/>
    <w:rsid w:val="00F31DE6"/>
    <w:rsid w:val="00F3353B"/>
    <w:rsid w:val="00F35A02"/>
    <w:rsid w:val="00F35E43"/>
    <w:rsid w:val="00F36B32"/>
    <w:rsid w:val="00F42D39"/>
    <w:rsid w:val="00F42EDE"/>
    <w:rsid w:val="00F4398A"/>
    <w:rsid w:val="00F47266"/>
    <w:rsid w:val="00F6007C"/>
    <w:rsid w:val="00F71A73"/>
    <w:rsid w:val="00F80CFC"/>
    <w:rsid w:val="00F8202D"/>
    <w:rsid w:val="00F86DB6"/>
    <w:rsid w:val="00F959AA"/>
    <w:rsid w:val="00FA2D46"/>
    <w:rsid w:val="00FA420E"/>
    <w:rsid w:val="00FB1F6B"/>
    <w:rsid w:val="00FC30F0"/>
    <w:rsid w:val="00FE19FB"/>
    <w:rsid w:val="00FF61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65330"/>
  <w15:chartTrackingRefBased/>
  <w15:docId w15:val="{CD9D956D-DB5A-4C5D-B940-C9494ADB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1F9"/>
    <w:pPr>
      <w:spacing w:line="259" w:lineRule="auto"/>
    </w:pPr>
    <w:rPr>
      <w:rFonts w:ascii="Times New Roman" w:eastAsia="Calibri" w:hAnsi="Times New Roman" w:cs="Times New Roman"/>
      <w:kern w:val="0"/>
      <w:sz w:val="26"/>
      <w:szCs w:val="22"/>
      <w:lang w:val="en-US"/>
      <w14:ligatures w14:val="none"/>
    </w:rPr>
  </w:style>
  <w:style w:type="paragraph" w:styleId="Heading1">
    <w:name w:val="heading 1"/>
    <w:basedOn w:val="Normal"/>
    <w:next w:val="Normal"/>
    <w:link w:val="Heading1Char"/>
    <w:uiPriority w:val="9"/>
    <w:qFormat/>
    <w:rsid w:val="00852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1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1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1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1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1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1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1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1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1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1F9"/>
    <w:rPr>
      <w:rFonts w:eastAsiaTheme="majorEastAsia" w:cstheme="majorBidi"/>
      <w:color w:val="272727" w:themeColor="text1" w:themeTint="D8"/>
    </w:rPr>
  </w:style>
  <w:style w:type="paragraph" w:styleId="Title">
    <w:name w:val="Title"/>
    <w:basedOn w:val="Normal"/>
    <w:next w:val="Normal"/>
    <w:link w:val="TitleChar"/>
    <w:uiPriority w:val="10"/>
    <w:qFormat/>
    <w:rsid w:val="00852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1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1F9"/>
    <w:pPr>
      <w:spacing w:before="160"/>
      <w:jc w:val="center"/>
    </w:pPr>
    <w:rPr>
      <w:i/>
      <w:iCs/>
      <w:color w:val="404040" w:themeColor="text1" w:themeTint="BF"/>
    </w:rPr>
  </w:style>
  <w:style w:type="character" w:customStyle="1" w:styleId="QuoteChar">
    <w:name w:val="Quote Char"/>
    <w:basedOn w:val="DefaultParagraphFont"/>
    <w:link w:val="Quote"/>
    <w:uiPriority w:val="29"/>
    <w:rsid w:val="008521F9"/>
    <w:rPr>
      <w:i/>
      <w:iCs/>
      <w:color w:val="404040" w:themeColor="text1" w:themeTint="BF"/>
    </w:rPr>
  </w:style>
  <w:style w:type="paragraph" w:styleId="ListParagraph">
    <w:name w:val="List Paragraph"/>
    <w:basedOn w:val="Normal"/>
    <w:uiPriority w:val="34"/>
    <w:qFormat/>
    <w:rsid w:val="008521F9"/>
    <w:pPr>
      <w:ind w:left="720"/>
      <w:contextualSpacing/>
    </w:pPr>
  </w:style>
  <w:style w:type="character" w:styleId="IntenseEmphasis">
    <w:name w:val="Intense Emphasis"/>
    <w:basedOn w:val="DefaultParagraphFont"/>
    <w:uiPriority w:val="21"/>
    <w:qFormat/>
    <w:rsid w:val="008521F9"/>
    <w:rPr>
      <w:i/>
      <w:iCs/>
      <w:color w:val="0F4761" w:themeColor="accent1" w:themeShade="BF"/>
    </w:rPr>
  </w:style>
  <w:style w:type="paragraph" w:styleId="IntenseQuote">
    <w:name w:val="Intense Quote"/>
    <w:basedOn w:val="Normal"/>
    <w:next w:val="Normal"/>
    <w:link w:val="IntenseQuoteChar"/>
    <w:uiPriority w:val="30"/>
    <w:qFormat/>
    <w:rsid w:val="00852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1F9"/>
    <w:rPr>
      <w:i/>
      <w:iCs/>
      <w:color w:val="0F4761" w:themeColor="accent1" w:themeShade="BF"/>
    </w:rPr>
  </w:style>
  <w:style w:type="character" w:styleId="IntenseReference">
    <w:name w:val="Intense Reference"/>
    <w:basedOn w:val="DefaultParagraphFont"/>
    <w:uiPriority w:val="32"/>
    <w:qFormat/>
    <w:rsid w:val="008521F9"/>
    <w:rPr>
      <w:b/>
      <w:bCs/>
      <w:smallCaps/>
      <w:color w:val="0F4761" w:themeColor="accent1" w:themeShade="BF"/>
      <w:spacing w:val="5"/>
    </w:rPr>
  </w:style>
  <w:style w:type="table" w:customStyle="1" w:styleId="TableGrid11">
    <w:name w:val="Table Grid11"/>
    <w:basedOn w:val="TableNormal"/>
    <w:next w:val="TableGrid"/>
    <w:uiPriority w:val="39"/>
    <w:rsid w:val="008521F9"/>
    <w:pPr>
      <w:spacing w:after="0" w:line="240" w:lineRule="auto"/>
    </w:pPr>
    <w:rPr>
      <w:rFonts w:ascii="Calibri" w:hAnsi="Calibr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1F9"/>
    <w:pPr>
      <w:spacing w:before="100" w:beforeAutospacing="1" w:after="100" w:afterAutospacing="1" w:line="240" w:lineRule="auto"/>
    </w:pPr>
    <w:rPr>
      <w:rFonts w:eastAsia="Times New Roman"/>
      <w:sz w:val="24"/>
      <w:szCs w:val="24"/>
      <w:lang w:val="vi-VN"/>
    </w:rPr>
  </w:style>
  <w:style w:type="table" w:styleId="TableGrid">
    <w:name w:val="Table Grid"/>
    <w:basedOn w:val="TableNormal"/>
    <w:uiPriority w:val="39"/>
    <w:rsid w:val="00852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12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240"/>
    <w:rPr>
      <w:rFonts w:ascii="Times New Roman" w:eastAsia="Calibri" w:hAnsi="Times New Roman" w:cs="Times New Roman"/>
      <w:kern w:val="0"/>
      <w:sz w:val="26"/>
      <w:szCs w:val="22"/>
      <w:lang w:val="en-US"/>
      <w14:ligatures w14:val="none"/>
    </w:rPr>
  </w:style>
  <w:style w:type="paragraph" w:styleId="Footer">
    <w:name w:val="footer"/>
    <w:basedOn w:val="Normal"/>
    <w:link w:val="FooterChar"/>
    <w:uiPriority w:val="99"/>
    <w:unhideWhenUsed/>
    <w:rsid w:val="00DC1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240"/>
    <w:rPr>
      <w:rFonts w:ascii="Times New Roman" w:eastAsia="Calibri" w:hAnsi="Times New Roman" w:cs="Times New Roman"/>
      <w:kern w:val="0"/>
      <w:sz w:val="26"/>
      <w:szCs w:val="22"/>
      <w:lang w:val="en-US"/>
      <w14:ligatures w14:val="none"/>
    </w:rPr>
  </w:style>
  <w:style w:type="paragraph" w:styleId="FootnoteText">
    <w:name w:val="footnote text"/>
    <w:basedOn w:val="Normal"/>
    <w:link w:val="FootnoteTextChar"/>
    <w:uiPriority w:val="99"/>
    <w:semiHidden/>
    <w:unhideWhenUsed/>
    <w:rsid w:val="006E3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3415"/>
    <w:rPr>
      <w:rFonts w:ascii="Times New Roman" w:eastAsia="Calibri"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6E3415"/>
    <w:rPr>
      <w:vertAlign w:val="superscript"/>
    </w:rPr>
  </w:style>
  <w:style w:type="paragraph" w:styleId="EndnoteText">
    <w:name w:val="endnote text"/>
    <w:basedOn w:val="Normal"/>
    <w:link w:val="EndnoteTextChar"/>
    <w:uiPriority w:val="99"/>
    <w:semiHidden/>
    <w:unhideWhenUsed/>
    <w:rsid w:val="002119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19DD"/>
    <w:rPr>
      <w:rFonts w:ascii="Times New Roman" w:eastAsia="Calibri" w:hAnsi="Times New Roman" w:cs="Times New Roman"/>
      <w:kern w:val="0"/>
      <w:sz w:val="20"/>
      <w:szCs w:val="20"/>
      <w:lang w:val="en-US"/>
      <w14:ligatures w14:val="none"/>
    </w:rPr>
  </w:style>
  <w:style w:type="character" w:styleId="EndnoteReference">
    <w:name w:val="endnote reference"/>
    <w:basedOn w:val="DefaultParagraphFont"/>
    <w:uiPriority w:val="99"/>
    <w:semiHidden/>
    <w:unhideWhenUsed/>
    <w:rsid w:val="002119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638064">
      <w:bodyDiv w:val="1"/>
      <w:marLeft w:val="0"/>
      <w:marRight w:val="0"/>
      <w:marTop w:val="0"/>
      <w:marBottom w:val="0"/>
      <w:divBdr>
        <w:top w:val="none" w:sz="0" w:space="0" w:color="auto"/>
        <w:left w:val="none" w:sz="0" w:space="0" w:color="auto"/>
        <w:bottom w:val="none" w:sz="0" w:space="0" w:color="auto"/>
        <w:right w:val="none" w:sz="0" w:space="0" w:color="auto"/>
      </w:divBdr>
    </w:div>
    <w:div w:id="359280983">
      <w:bodyDiv w:val="1"/>
      <w:marLeft w:val="0"/>
      <w:marRight w:val="0"/>
      <w:marTop w:val="0"/>
      <w:marBottom w:val="0"/>
      <w:divBdr>
        <w:top w:val="none" w:sz="0" w:space="0" w:color="auto"/>
        <w:left w:val="none" w:sz="0" w:space="0" w:color="auto"/>
        <w:bottom w:val="none" w:sz="0" w:space="0" w:color="auto"/>
        <w:right w:val="none" w:sz="0" w:space="0" w:color="auto"/>
      </w:divBdr>
    </w:div>
    <w:div w:id="972372211">
      <w:bodyDiv w:val="1"/>
      <w:marLeft w:val="0"/>
      <w:marRight w:val="0"/>
      <w:marTop w:val="0"/>
      <w:marBottom w:val="0"/>
      <w:divBdr>
        <w:top w:val="none" w:sz="0" w:space="0" w:color="auto"/>
        <w:left w:val="none" w:sz="0" w:space="0" w:color="auto"/>
        <w:bottom w:val="none" w:sz="0" w:space="0" w:color="auto"/>
        <w:right w:val="none" w:sz="0" w:space="0" w:color="auto"/>
      </w:divBdr>
    </w:div>
    <w:div w:id="1100299342">
      <w:bodyDiv w:val="1"/>
      <w:marLeft w:val="0"/>
      <w:marRight w:val="0"/>
      <w:marTop w:val="0"/>
      <w:marBottom w:val="0"/>
      <w:divBdr>
        <w:top w:val="none" w:sz="0" w:space="0" w:color="auto"/>
        <w:left w:val="none" w:sz="0" w:space="0" w:color="auto"/>
        <w:bottom w:val="none" w:sz="0" w:space="0" w:color="auto"/>
        <w:right w:val="none" w:sz="0" w:space="0" w:color="auto"/>
      </w:divBdr>
    </w:div>
    <w:div w:id="1937135481">
      <w:bodyDiv w:val="1"/>
      <w:marLeft w:val="0"/>
      <w:marRight w:val="0"/>
      <w:marTop w:val="0"/>
      <w:marBottom w:val="0"/>
      <w:divBdr>
        <w:top w:val="none" w:sz="0" w:space="0" w:color="auto"/>
        <w:left w:val="none" w:sz="0" w:space="0" w:color="auto"/>
        <w:bottom w:val="none" w:sz="0" w:space="0" w:color="auto"/>
        <w:right w:val="none" w:sz="0" w:space="0" w:color="auto"/>
      </w:divBdr>
    </w:div>
    <w:div w:id="213000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etrolimex.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a5e789-6903-43e1-b6ca-356861f44381" xsi:nil="true"/>
    <lcf76f155ced4ddcb4097134ff3c332f xmlns="88c39d67-c94a-4c70-b203-8c1f83a3d9d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F7C894CEB2784C838A3D5E358CBF2D" ma:contentTypeVersion="19" ma:contentTypeDescription="Create a new document." ma:contentTypeScope="" ma:versionID="e63ed1fe9f7333b44e0320fc12291abc">
  <xsd:schema xmlns:xsd="http://www.w3.org/2001/XMLSchema" xmlns:xs="http://www.w3.org/2001/XMLSchema" xmlns:p="http://schemas.microsoft.com/office/2006/metadata/properties" xmlns:ns2="88c39d67-c94a-4c70-b203-8c1f83a3d9d7" xmlns:ns3="2ca5e789-6903-43e1-b6ca-356861f44381" targetNamespace="http://schemas.microsoft.com/office/2006/metadata/properties" ma:root="true" ma:fieldsID="272eb6706c254fb961f6c0716c15dcde" ns2:_="" ns3:_="">
    <xsd:import namespace="88c39d67-c94a-4c70-b203-8c1f83a3d9d7"/>
    <xsd:import namespace="2ca5e789-6903-43e1-b6ca-356861f443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39d67-c94a-4c70-b203-8c1f83a3d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5c51ce-104e-4360-8733-a2e660b45d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5e789-6903-43e1-b6ca-356861f443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d77dac-6e62-44e1-8ea9-81400205517e}" ma:internalName="TaxCatchAll" ma:showField="CatchAllData" ma:web="2ca5e789-6903-43e1-b6ca-356861f44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57119-20B4-400B-A4E7-0AB30A4A4938}">
  <ds:schemaRefs>
    <ds:schemaRef ds:uri="http://schemas.openxmlformats.org/officeDocument/2006/bibliography"/>
  </ds:schemaRefs>
</ds:datastoreItem>
</file>

<file path=customXml/itemProps2.xml><?xml version="1.0" encoding="utf-8"?>
<ds:datastoreItem xmlns:ds="http://schemas.openxmlformats.org/officeDocument/2006/customXml" ds:itemID="{435E03A3-8023-4193-8B62-82CB81F88BA6}">
  <ds:schemaRefs>
    <ds:schemaRef ds:uri="http://schemas.microsoft.com/sharepoint/v3/contenttype/forms"/>
  </ds:schemaRefs>
</ds:datastoreItem>
</file>

<file path=customXml/itemProps3.xml><?xml version="1.0" encoding="utf-8"?>
<ds:datastoreItem xmlns:ds="http://schemas.openxmlformats.org/officeDocument/2006/customXml" ds:itemID="{0B019F6C-BA8C-4936-B97F-54062D25E3A6}">
  <ds:schemaRefs>
    <ds:schemaRef ds:uri="http://schemas.microsoft.com/office/2006/metadata/properties"/>
    <ds:schemaRef ds:uri="http://schemas.microsoft.com/office/infopath/2007/PartnerControls"/>
    <ds:schemaRef ds:uri="2ca5e789-6903-43e1-b6ca-356861f44381"/>
    <ds:schemaRef ds:uri="88c39d67-c94a-4c70-b203-8c1f83a3d9d7"/>
  </ds:schemaRefs>
</ds:datastoreItem>
</file>

<file path=customXml/itemProps4.xml><?xml version="1.0" encoding="utf-8"?>
<ds:datastoreItem xmlns:ds="http://schemas.openxmlformats.org/officeDocument/2006/customXml" ds:itemID="{AE02C012-54B9-41BE-B0DD-044595F08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39d67-c94a-4c70-b203-8c1f83a3d9d7"/>
    <ds:schemaRef ds:uri="2ca5e789-6903-43e1-b6ca-356861f44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5550</Words>
  <Characters>20370</Characters>
  <Application>Microsoft Office Word</Application>
  <DocSecurity>0</DocSecurity>
  <Lines>522</Lines>
  <Paragraphs>301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BC HĐ HĐQT 2025 &amp; KH 2026</vt:lpstr>
      <vt:lpstr>NQ v.v TL KXD ĐHương</vt:lpstr>
    </vt:vector>
  </TitlesOfParts>
  <Company/>
  <LinksUpToDate>false</LinksUpToDate>
  <CharactersWithSpaces>25619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 HĐ HĐQT 2025 &amp; KH 2026</dc:title>
  <dc:subject/>
  <dc:creator>Hieu, Nguyen Minh (PETROLIMEX)</dc:creator>
  <cp:keywords/>
  <dc:description/>
  <cp:lastModifiedBy>Ngoc, Nguyen Van (PETROLIMEX)</cp:lastModifiedBy>
  <cp:revision>21</cp:revision>
  <cp:lastPrinted>2026-03-03T07:01:00Z</cp:lastPrinted>
  <dcterms:created xsi:type="dcterms:W3CDTF">2026-04-01T04:12:00Z</dcterms:created>
  <dcterms:modified xsi:type="dcterms:W3CDTF">2026-04-01T07:31:00Z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0x01010022F7C894CEB2784C838A3D5E358CBF2D</vt:lpwstr>
  </property>
  <property fmtid="{D5CDD505-2E9C-101B-9397-08002B2CF9AE}" pid="3" name="MediaServiceImageTags">
    <vt:lpwstr/>
  </property>
  <property fmtid="{D5CDD505-2E9C-101B-9397-08002B2CF9AE}" pid="4" name="docLang">
    <vt:lpwstr>vi</vt:lpwstr>
  </property>
</Properties>
</file>