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9" w:type="dxa"/>
        <w:tblInd w:w="-522" w:type="dxa"/>
        <w:tblLook w:val="01E0" w:firstRow="1" w:lastRow="1" w:firstColumn="1" w:lastColumn="1" w:noHBand="0" w:noVBand="0"/>
      </w:tblPr>
      <w:tblGrid>
        <w:gridCol w:w="5450"/>
        <w:gridCol w:w="4819"/>
      </w:tblGrid>
      <w:tr w:rsidR="007606FE" w:rsidRPr="00E41585" w14:paraId="36264F31" w14:textId="77777777" w:rsidTr="00703053">
        <w:tc>
          <w:tcPr>
            <w:tcW w:w="5450" w:type="dxa"/>
          </w:tcPr>
          <w:p w14:paraId="739467F4" w14:textId="5DC594AB" w:rsidR="007606FE" w:rsidRPr="00E41585" w:rsidRDefault="00C463CB" w:rsidP="00465438">
            <w:pPr>
              <w:spacing w:before="60" w:after="60" w:line="24" w:lineRule="atLeast"/>
              <w:ind w:right="-90"/>
              <w:jc w:val="center"/>
              <w:rPr>
                <w:b/>
                <w:szCs w:val="26"/>
              </w:rPr>
            </w:pPr>
            <w:r w:rsidRPr="00E41585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34353044" wp14:editId="1C3B6D5D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264795</wp:posOffset>
                  </wp:positionV>
                  <wp:extent cx="1559560" cy="321310"/>
                  <wp:effectExtent l="0" t="0" r="0" b="2540"/>
                  <wp:wrapTopAndBottom/>
                  <wp:docPr id="1364778705" name="Picture 1364778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2" t="20733" b="21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60" cy="321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585">
              <w:rPr>
                <w:b/>
              </w:rPr>
              <w:t>VIETNAM NATIONAL PETROLEUM GROUP</w:t>
            </w:r>
          </w:p>
        </w:tc>
        <w:tc>
          <w:tcPr>
            <w:tcW w:w="4819" w:type="dxa"/>
          </w:tcPr>
          <w:p w14:paraId="1F64F660" w14:textId="77777777" w:rsidR="007606FE" w:rsidRPr="00E41585" w:rsidRDefault="007606FE" w:rsidP="00465438">
            <w:pPr>
              <w:spacing w:before="60" w:after="60" w:line="24" w:lineRule="atLeast"/>
              <w:ind w:left="-108"/>
              <w:jc w:val="center"/>
              <w:rPr>
                <w:b/>
                <w:szCs w:val="26"/>
              </w:rPr>
            </w:pPr>
            <w:r w:rsidRPr="00E41585">
              <w:rPr>
                <w:b/>
              </w:rPr>
              <w:t>SOCIALIST REPUBLIC OF VIET NAM</w:t>
            </w:r>
          </w:p>
          <w:p w14:paraId="7F4C88BA" w14:textId="4403DBE2" w:rsidR="007606FE" w:rsidRPr="00E41585" w:rsidRDefault="007606FE" w:rsidP="00465438">
            <w:pPr>
              <w:spacing w:before="60" w:after="60" w:line="24" w:lineRule="atLeast"/>
              <w:ind w:left="-108"/>
              <w:jc w:val="center"/>
              <w:rPr>
                <w:b/>
                <w:szCs w:val="26"/>
              </w:rPr>
            </w:pPr>
            <w:r w:rsidRPr="00E41585">
              <w:rPr>
                <w:b/>
              </w:rPr>
              <w:t>Independence - Freedom – Happiness</w:t>
            </w:r>
          </w:p>
        </w:tc>
      </w:tr>
      <w:tr w:rsidR="007606FE" w:rsidRPr="00E41585" w14:paraId="13703192" w14:textId="77777777" w:rsidTr="00703053">
        <w:tc>
          <w:tcPr>
            <w:tcW w:w="5450" w:type="dxa"/>
          </w:tcPr>
          <w:p w14:paraId="76B8DBF2" w14:textId="7FE556AF" w:rsidR="007606FE" w:rsidRPr="00E41585" w:rsidRDefault="00C463CB" w:rsidP="00465438">
            <w:pPr>
              <w:spacing w:before="60" w:after="60" w:line="24" w:lineRule="atLeast"/>
              <w:jc w:val="center"/>
              <w:rPr>
                <w:b/>
                <w:szCs w:val="26"/>
              </w:rPr>
            </w:pPr>
            <w:r w:rsidRPr="00E41585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56BCE6" wp14:editId="52A775CF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49530</wp:posOffset>
                      </wp:positionV>
                      <wp:extent cx="1439545" cy="0"/>
                      <wp:effectExtent l="0" t="0" r="0" b="0"/>
                      <wp:wrapNone/>
                      <wp:docPr id="172976198" name="Straight Connector 172976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95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4590214" id="Straight Connector 17297619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3.9pt" to="16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19" w:type="dxa"/>
          </w:tcPr>
          <w:p w14:paraId="2CDAC841" w14:textId="1AA35D69" w:rsidR="007606FE" w:rsidRPr="00E41585" w:rsidRDefault="007606FE" w:rsidP="00465438">
            <w:pPr>
              <w:spacing w:before="60" w:after="60" w:line="24" w:lineRule="atLeast"/>
              <w:ind w:right="-144"/>
              <w:jc w:val="center"/>
              <w:rPr>
                <w:b/>
                <w:szCs w:val="26"/>
                <w:u w:val="single"/>
              </w:rPr>
            </w:pPr>
            <w:r w:rsidRPr="00E41585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5712D" wp14:editId="57D3B0A6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36830</wp:posOffset>
                      </wp:positionV>
                      <wp:extent cx="2032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588B5E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2.9pt" to="212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0412A79" w14:textId="77777777" w:rsidR="007606FE" w:rsidRPr="00E41585" w:rsidRDefault="007606FE" w:rsidP="00C463CB">
            <w:pPr>
              <w:tabs>
                <w:tab w:val="center" w:pos="463"/>
                <w:tab w:val="center" w:pos="6300"/>
              </w:tabs>
              <w:ind w:right="537"/>
              <w:jc w:val="center"/>
              <w:rPr>
                <w:sz w:val="26"/>
                <w:szCs w:val="26"/>
              </w:rPr>
            </w:pPr>
            <w:r w:rsidRPr="00E41585">
              <w:rPr>
                <w:i/>
                <w:sz w:val="26"/>
              </w:rPr>
              <w:t xml:space="preserve">Hanoi, </w:t>
            </w:r>
            <w:r w:rsidRPr="00E41585">
              <w:rPr>
                <w:b/>
                <w:bCs/>
                <w:i/>
                <w:iCs/>
                <w:sz w:val="26"/>
              </w:rPr>
              <w:t>April 24, 2026</w:t>
            </w:r>
            <w:r w:rsidRPr="00E41585">
              <w:rPr>
                <w:i/>
                <w:sz w:val="26"/>
              </w:rPr>
              <w:t xml:space="preserve"> </w:t>
            </w:r>
          </w:p>
          <w:p w14:paraId="3F073B06" w14:textId="77777777" w:rsidR="007606FE" w:rsidRPr="00E41585" w:rsidRDefault="007606FE" w:rsidP="00465438">
            <w:pPr>
              <w:spacing w:before="60" w:after="60" w:line="24" w:lineRule="atLeast"/>
              <w:ind w:right="153"/>
              <w:jc w:val="center"/>
              <w:rPr>
                <w:szCs w:val="26"/>
              </w:rPr>
            </w:pPr>
          </w:p>
        </w:tc>
      </w:tr>
    </w:tbl>
    <w:p w14:paraId="522A6017" w14:textId="72899BF2" w:rsidR="004C13BF" w:rsidRPr="00E41585" w:rsidRDefault="004C13BF" w:rsidP="00517CCB">
      <w:pPr>
        <w:spacing w:before="60" w:line="271" w:lineRule="auto"/>
        <w:ind w:right="28"/>
        <w:jc w:val="center"/>
        <w:rPr>
          <w:color w:val="000000" w:themeColor="text1"/>
          <w:sz w:val="30"/>
          <w:szCs w:val="30"/>
        </w:rPr>
      </w:pPr>
      <w:r w:rsidRPr="00E41585">
        <w:rPr>
          <w:b/>
          <w:color w:val="000000" w:themeColor="text1"/>
          <w:sz w:val="30"/>
        </w:rPr>
        <w:t>PROPOSAL (Draft)</w:t>
      </w:r>
    </w:p>
    <w:p w14:paraId="3EB53915" w14:textId="4AB5EDD7" w:rsidR="004C13BF" w:rsidRPr="00E41585" w:rsidRDefault="00E41585" w:rsidP="00517CCB">
      <w:pPr>
        <w:spacing w:after="60" w:line="271" w:lineRule="auto"/>
        <w:jc w:val="center"/>
        <w:rPr>
          <w:b/>
          <w:bCs/>
          <w:i/>
          <w:iCs/>
          <w:color w:val="000000" w:themeColor="text1"/>
          <w:sz w:val="29"/>
          <w:szCs w:val="29"/>
        </w:rPr>
      </w:pPr>
      <w:r w:rsidRPr="00E41585">
        <w:rPr>
          <w:b/>
          <w:i/>
          <w:sz w:val="26"/>
        </w:rPr>
        <w:t>For</w:t>
      </w:r>
      <w:r w:rsidR="004C13BF" w:rsidRPr="00E41585">
        <w:rPr>
          <w:b/>
          <w:i/>
          <w:sz w:val="26"/>
        </w:rPr>
        <w:t xml:space="preserve"> Approval of the 2025 Profit Distribution Plan</w:t>
      </w:r>
    </w:p>
    <w:p w14:paraId="495BB597" w14:textId="79D31743" w:rsidR="004C13BF" w:rsidRPr="00E41585" w:rsidRDefault="009B496D" w:rsidP="007A5DDA">
      <w:pPr>
        <w:spacing w:before="240" w:line="271" w:lineRule="auto"/>
        <w:ind w:right="-28"/>
        <w:jc w:val="center"/>
        <w:rPr>
          <w:b/>
          <w:bCs/>
          <w:color w:val="000000" w:themeColor="text1"/>
          <w:sz w:val="26"/>
          <w:szCs w:val="26"/>
        </w:rPr>
      </w:pPr>
      <w:r w:rsidRPr="00E41585">
        <w:rPr>
          <w:b/>
          <w:sz w:val="26"/>
        </w:rPr>
        <w:tab/>
        <w:t>To: The 2026 Annual General Meeting of Shareholders</w:t>
      </w:r>
    </w:p>
    <w:p w14:paraId="5E524F53" w14:textId="7D75AA19" w:rsidR="004C13BF" w:rsidRPr="00E41585" w:rsidRDefault="009B496D" w:rsidP="009B496D">
      <w:pPr>
        <w:spacing w:after="240" w:line="271" w:lineRule="auto"/>
        <w:ind w:right="-28"/>
        <w:rPr>
          <w:b/>
          <w:bCs/>
          <w:color w:val="000000" w:themeColor="text1"/>
          <w:sz w:val="26"/>
          <w:szCs w:val="26"/>
        </w:rPr>
      </w:pPr>
      <w:r w:rsidRPr="00E41585">
        <w:rPr>
          <w:b/>
          <w:color w:val="000000" w:themeColor="text1"/>
          <w:sz w:val="26"/>
        </w:rPr>
        <w:tab/>
      </w:r>
      <w:r w:rsidRPr="00E41585">
        <w:rPr>
          <w:b/>
          <w:color w:val="000000" w:themeColor="text1"/>
          <w:sz w:val="26"/>
        </w:rPr>
        <w:tab/>
      </w:r>
      <w:r w:rsidRPr="00E41585">
        <w:rPr>
          <w:b/>
          <w:color w:val="000000" w:themeColor="text1"/>
          <w:sz w:val="26"/>
        </w:rPr>
        <w:tab/>
      </w:r>
      <w:r w:rsidRPr="00E41585">
        <w:rPr>
          <w:b/>
          <w:color w:val="000000" w:themeColor="text1"/>
          <w:sz w:val="26"/>
        </w:rPr>
        <w:tab/>
        <w:t xml:space="preserve">  Vietnam National Petroleum Group</w:t>
      </w:r>
    </w:p>
    <w:p w14:paraId="16BA0B75" w14:textId="168AB7F4" w:rsidR="00517CCB" w:rsidRPr="00E41585" w:rsidRDefault="00517CCB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>Pursuant to the Law on Enterprises No. 59/2020/QH14 dated June 17, 2020; the Law No. 76/2025/QH15 dated June 17, 2025 on amending and supplementing a number of Articles of the Law on Enterprises;</w:t>
      </w:r>
    </w:p>
    <w:p w14:paraId="0C92ABA9" w14:textId="7489D6A5" w:rsidR="009E0C43" w:rsidRPr="00E41585" w:rsidRDefault="00FA0212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 xml:space="preserve">Pursuant to the Law on Management and Investment of State Capital in Enterprises No. 68/2025/QH15 dated June 14, 2025; the Decree No. 366/2025/NĐ-CP of the Government dated December 31, 2025 on Management and Investment of State Capital in enterprises; </w:t>
      </w:r>
    </w:p>
    <w:p w14:paraId="7A5634FB" w14:textId="6FFB269E" w:rsidR="00517CCB" w:rsidRPr="00E41585" w:rsidRDefault="00517CCB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>Pursuant to the Charter of Vietnam National Petroleum Group (Group/</w:t>
      </w:r>
      <w:proofErr w:type="spellStart"/>
      <w:r w:rsidRPr="00E41585">
        <w:rPr>
          <w:color w:val="000000" w:themeColor="text1"/>
        </w:rPr>
        <w:t>Petrolimex</w:t>
      </w:r>
      <w:proofErr w:type="spellEnd"/>
      <w:r w:rsidRPr="00E41585">
        <w:rPr>
          <w:color w:val="000000" w:themeColor="text1"/>
        </w:rPr>
        <w:t>) adopted on April 25, 2025 by the General Meeting of Shareholders;</w:t>
      </w:r>
    </w:p>
    <w:p w14:paraId="583B8B33" w14:textId="77777777" w:rsidR="004C13BF" w:rsidRPr="00E41585" w:rsidRDefault="004C13BF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>Pursuant to the Resolutions of 2025 Annual General Meeting of Shareholders (GMS);</w:t>
      </w:r>
    </w:p>
    <w:p w14:paraId="7F5813D7" w14:textId="77777777" w:rsidR="00517CCB" w:rsidRPr="00E41585" w:rsidRDefault="00517CCB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>Pursuant to the regulation on profit distribution of the competent state authorities;</w:t>
      </w:r>
    </w:p>
    <w:p w14:paraId="70FE2A05" w14:textId="5250BE33" w:rsidR="0021311A" w:rsidRPr="00E41585" w:rsidRDefault="004C13BF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>Pursuant to the 2025 production and business results of the Parent Company and Consolidated Group at the audited financial statements,</w:t>
      </w:r>
    </w:p>
    <w:p w14:paraId="619EF907" w14:textId="62BFDB36" w:rsidR="004C13BF" w:rsidRPr="00E41585" w:rsidRDefault="004C13BF" w:rsidP="006F1C2A">
      <w:pPr>
        <w:ind w:firstLine="567"/>
        <w:jc w:val="both"/>
        <w:rPr>
          <w:color w:val="000000" w:themeColor="text1"/>
        </w:rPr>
      </w:pPr>
      <w:r w:rsidRPr="00E41585">
        <w:rPr>
          <w:color w:val="000000" w:themeColor="text1"/>
        </w:rPr>
        <w:t xml:space="preserve">The Board hereby submits the 2025 Profit Distribution Plan to the 2026 Annual General Meeting of Shareholders as follows: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404"/>
        <w:gridCol w:w="2359"/>
      </w:tblGrid>
      <w:tr w:rsidR="00A15B28" w:rsidRPr="00E41585" w14:paraId="6FFC53B3" w14:textId="77777777" w:rsidTr="00BE7027">
        <w:trPr>
          <w:trHeight w:val="359"/>
          <w:tblHeader/>
        </w:trPr>
        <w:tc>
          <w:tcPr>
            <w:tcW w:w="764" w:type="dxa"/>
            <w:noWrap/>
            <w:vAlign w:val="center"/>
          </w:tcPr>
          <w:p w14:paraId="2AC45B15" w14:textId="77777777" w:rsidR="004C13BF" w:rsidRPr="00E41585" w:rsidRDefault="004C13BF" w:rsidP="009067DA">
            <w:pPr>
              <w:widowControl w:val="0"/>
              <w:spacing w:line="320" w:lineRule="exact"/>
              <w:ind w:right="-37" w:firstLine="34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E41585">
              <w:rPr>
                <w:b/>
                <w:color w:val="000000" w:themeColor="text1"/>
                <w:sz w:val="22"/>
              </w:rPr>
              <w:t>No.</w:t>
            </w:r>
          </w:p>
        </w:tc>
        <w:tc>
          <w:tcPr>
            <w:tcW w:w="6404" w:type="dxa"/>
            <w:noWrap/>
            <w:vAlign w:val="center"/>
          </w:tcPr>
          <w:p w14:paraId="49E710CA" w14:textId="77777777" w:rsidR="004C13BF" w:rsidRPr="00E41585" w:rsidRDefault="004C13BF" w:rsidP="009067DA">
            <w:pPr>
              <w:widowControl w:val="0"/>
              <w:spacing w:line="320" w:lineRule="exact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E41585">
              <w:rPr>
                <w:b/>
                <w:color w:val="000000" w:themeColor="text1"/>
                <w:sz w:val="22"/>
              </w:rPr>
              <w:t>Description</w:t>
            </w:r>
          </w:p>
        </w:tc>
        <w:tc>
          <w:tcPr>
            <w:tcW w:w="2359" w:type="dxa"/>
            <w:noWrap/>
            <w:vAlign w:val="center"/>
          </w:tcPr>
          <w:p w14:paraId="407BFF42" w14:textId="77777777" w:rsidR="004C13BF" w:rsidRPr="00E41585" w:rsidRDefault="004C13BF" w:rsidP="009067DA">
            <w:pPr>
              <w:widowControl w:val="0"/>
              <w:spacing w:line="320" w:lineRule="exact"/>
              <w:jc w:val="center"/>
              <w:rPr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E41585">
              <w:rPr>
                <w:b/>
                <w:color w:val="000000" w:themeColor="text1"/>
                <w:sz w:val="22"/>
              </w:rPr>
              <w:t>Value (VND)</w:t>
            </w:r>
          </w:p>
        </w:tc>
      </w:tr>
      <w:tr w:rsidR="00C86C38" w:rsidRPr="00E41585" w14:paraId="1946A0A5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3E23FA3B" w14:textId="77777777" w:rsidR="00E37AEF" w:rsidRPr="00E41585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41585">
              <w:rPr>
                <w:b/>
              </w:rPr>
              <w:t>1</w:t>
            </w:r>
          </w:p>
        </w:tc>
        <w:tc>
          <w:tcPr>
            <w:tcW w:w="6404" w:type="dxa"/>
            <w:noWrap/>
            <w:vAlign w:val="center"/>
          </w:tcPr>
          <w:p w14:paraId="05437B2F" w14:textId="312D8AA3" w:rsidR="00E37AEF" w:rsidRPr="00E41585" w:rsidRDefault="00E41585" w:rsidP="009067DA">
            <w:pPr>
              <w:spacing w:line="320" w:lineRule="exact"/>
              <w:rPr>
                <w:b/>
                <w:bCs/>
              </w:rPr>
            </w:pPr>
            <w:r w:rsidRPr="00E41585">
              <w:rPr>
                <w:b/>
              </w:rPr>
              <w:t>Undistributed profit after corporate income tax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7413" w14:textId="77777777" w:rsidR="00E37AEF" w:rsidRPr="00E41585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41585">
              <w:rPr>
                <w:b/>
              </w:rPr>
              <w:t>1,967,263,155,607</w:t>
            </w:r>
          </w:p>
        </w:tc>
      </w:tr>
      <w:tr w:rsidR="00C86C38" w:rsidRPr="00E41585" w14:paraId="18B0A967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458DA612" w14:textId="77777777" w:rsidR="00E37AEF" w:rsidRPr="00E41585" w:rsidRDefault="008E4880" w:rsidP="009067DA">
            <w:pPr>
              <w:spacing w:line="320" w:lineRule="exact"/>
              <w:jc w:val="center"/>
            </w:pPr>
            <w:r w:rsidRPr="00E41585">
              <w:t>1.1</w:t>
            </w:r>
          </w:p>
        </w:tc>
        <w:tc>
          <w:tcPr>
            <w:tcW w:w="6404" w:type="dxa"/>
            <w:noWrap/>
            <w:vAlign w:val="center"/>
          </w:tcPr>
          <w:p w14:paraId="6628C8FE" w14:textId="77777777" w:rsidR="00E37AEF" w:rsidRPr="00E41585" w:rsidRDefault="008E4880" w:rsidP="009067DA">
            <w:pPr>
              <w:spacing w:line="320" w:lineRule="exact"/>
            </w:pPr>
            <w:r w:rsidRPr="00E41585">
              <w:t>Remaining profit carried forward from 2024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AAEA" w14:textId="77777777" w:rsidR="00E37AEF" w:rsidRPr="00E41585" w:rsidRDefault="008E4880" w:rsidP="009067DA">
            <w:pPr>
              <w:spacing w:line="320" w:lineRule="exact"/>
              <w:jc w:val="right"/>
            </w:pPr>
            <w:r w:rsidRPr="00E41585">
              <w:t>0</w:t>
            </w:r>
          </w:p>
        </w:tc>
      </w:tr>
      <w:tr w:rsidR="00C86C38" w:rsidRPr="00E41585" w14:paraId="0CD607E3" w14:textId="77777777" w:rsidTr="00C86C38">
        <w:trPr>
          <w:trHeight w:val="422"/>
        </w:trPr>
        <w:tc>
          <w:tcPr>
            <w:tcW w:w="764" w:type="dxa"/>
            <w:noWrap/>
            <w:vAlign w:val="center"/>
          </w:tcPr>
          <w:p w14:paraId="4C5F9874" w14:textId="77777777" w:rsidR="00E37AEF" w:rsidRPr="00E41585" w:rsidRDefault="008E4880" w:rsidP="009067DA">
            <w:pPr>
              <w:spacing w:line="320" w:lineRule="exact"/>
              <w:jc w:val="center"/>
            </w:pPr>
            <w:r w:rsidRPr="00E41585">
              <w:t>1.2</w:t>
            </w:r>
          </w:p>
        </w:tc>
        <w:tc>
          <w:tcPr>
            <w:tcW w:w="6404" w:type="dxa"/>
            <w:noWrap/>
            <w:vAlign w:val="center"/>
          </w:tcPr>
          <w:p w14:paraId="0A687149" w14:textId="77777777" w:rsidR="00E37AEF" w:rsidRPr="00E41585" w:rsidRDefault="008E4880" w:rsidP="009067DA">
            <w:pPr>
              <w:spacing w:line="320" w:lineRule="exact"/>
            </w:pPr>
            <w:r w:rsidRPr="00E41585">
              <w:t>Profit after corporate income tax in 2025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BA82" w14:textId="77777777" w:rsidR="00E37AEF" w:rsidRPr="00E41585" w:rsidRDefault="008E4880" w:rsidP="009067DA">
            <w:pPr>
              <w:spacing w:line="320" w:lineRule="exact"/>
              <w:jc w:val="right"/>
            </w:pPr>
            <w:r w:rsidRPr="00E41585">
              <w:t>1,967,263,155,607</w:t>
            </w:r>
          </w:p>
        </w:tc>
      </w:tr>
      <w:tr w:rsidR="00C86C38" w:rsidRPr="00E41585" w14:paraId="04BE4633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09F95035" w14:textId="77777777" w:rsidR="00E37AEF" w:rsidRPr="00E41585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41585">
              <w:rPr>
                <w:b/>
              </w:rPr>
              <w:t>2</w:t>
            </w:r>
          </w:p>
        </w:tc>
        <w:tc>
          <w:tcPr>
            <w:tcW w:w="6404" w:type="dxa"/>
            <w:noWrap/>
            <w:vAlign w:val="center"/>
          </w:tcPr>
          <w:p w14:paraId="3C86B255" w14:textId="77777777" w:rsidR="00E37AEF" w:rsidRPr="00E41585" w:rsidRDefault="008E4880" w:rsidP="009067DA">
            <w:pPr>
              <w:spacing w:line="320" w:lineRule="exact"/>
              <w:rPr>
                <w:b/>
                <w:bCs/>
              </w:rPr>
            </w:pPr>
            <w:r w:rsidRPr="00E41585">
              <w:rPr>
                <w:b/>
              </w:rPr>
              <w:t>Total proposed distribution amount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3FBF" w14:textId="77777777" w:rsidR="00E37AEF" w:rsidRPr="00E41585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41585">
              <w:rPr>
                <w:b/>
              </w:rPr>
              <w:t>1,967,263,155,607</w:t>
            </w:r>
          </w:p>
        </w:tc>
      </w:tr>
      <w:tr w:rsidR="00C86C38" w:rsidRPr="00E41585" w14:paraId="0E619991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1297D4C4" w14:textId="77777777" w:rsidR="00E37AEF" w:rsidRPr="00E41585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41585">
              <w:rPr>
                <w:b/>
              </w:rPr>
              <w:t>2.1</w:t>
            </w:r>
          </w:p>
        </w:tc>
        <w:tc>
          <w:tcPr>
            <w:tcW w:w="6404" w:type="dxa"/>
            <w:noWrap/>
            <w:vAlign w:val="center"/>
          </w:tcPr>
          <w:p w14:paraId="4245D836" w14:textId="367D2BF4" w:rsidR="00181463" w:rsidRPr="00E41585" w:rsidRDefault="008E4880" w:rsidP="000E397B">
            <w:pPr>
              <w:spacing w:line="300" w:lineRule="exact"/>
              <w:jc w:val="both"/>
              <w:rPr>
                <w:i/>
                <w:iCs/>
              </w:rPr>
            </w:pPr>
            <w:r w:rsidRPr="00E41585">
              <w:rPr>
                <w:b/>
                <w:bCs/>
              </w:rPr>
              <w:t>Appropriation to Bonus and Welfare Fund</w:t>
            </w:r>
            <w:r w:rsidRPr="00E41585">
              <w:t xml:space="preserve"> (</w:t>
            </w:r>
            <w:r w:rsidRPr="00E41585">
              <w:rPr>
                <w:i/>
                <w:iCs/>
              </w:rPr>
              <w:t>Equivalent to 03 months of average realized salary in 2025</w:t>
            </w:r>
            <w:r w:rsidRPr="00E41585">
              <w:t>)</w:t>
            </w:r>
          </w:p>
          <w:p w14:paraId="65CA2C8E" w14:textId="7B369F96" w:rsidR="00C64416" w:rsidRPr="00E41585" w:rsidRDefault="00181463" w:rsidP="004B38EB">
            <w:pPr>
              <w:spacing w:line="300" w:lineRule="exact"/>
              <w:rPr>
                <w:b/>
                <w:bCs/>
              </w:rPr>
            </w:pPr>
            <w:r w:rsidRPr="00E41585">
              <w:rPr>
                <w:i/>
              </w:rPr>
              <w:t>(Total 2025 realized salary fund for the members of the Board, Supervisory Board, Executive Management Board &amp; equivalents, and Parent Company employees: 137,611,804,351 VND)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3D1F" w14:textId="77777777" w:rsidR="00E37AEF" w:rsidRPr="00E41585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41585">
              <w:rPr>
                <w:b/>
              </w:rPr>
              <w:t>34,402,951,088</w:t>
            </w:r>
          </w:p>
        </w:tc>
      </w:tr>
      <w:tr w:rsidR="00C86C38" w:rsidRPr="00E41585" w14:paraId="7FEF47FE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6364F939" w14:textId="77777777" w:rsidR="00E37AEF" w:rsidRPr="00E41585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41585">
              <w:rPr>
                <w:b/>
              </w:rPr>
              <w:t>2.2</w:t>
            </w:r>
          </w:p>
        </w:tc>
        <w:tc>
          <w:tcPr>
            <w:tcW w:w="6404" w:type="dxa"/>
            <w:noWrap/>
            <w:vAlign w:val="center"/>
          </w:tcPr>
          <w:p w14:paraId="33B9F4D2" w14:textId="77777777" w:rsidR="00E37AEF" w:rsidRPr="00E41585" w:rsidRDefault="008E4880" w:rsidP="009067DA">
            <w:pPr>
              <w:spacing w:line="320" w:lineRule="exact"/>
              <w:rPr>
                <w:b/>
                <w:bCs/>
              </w:rPr>
            </w:pPr>
            <w:r w:rsidRPr="00E41585">
              <w:rPr>
                <w:b/>
              </w:rPr>
              <w:t>Appropriation to Investment and Development Fund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F274" w14:textId="77777777" w:rsidR="00E37AEF" w:rsidRPr="00E41585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41585">
              <w:rPr>
                <w:b/>
              </w:rPr>
              <w:t>408,149,522,519</w:t>
            </w:r>
          </w:p>
        </w:tc>
      </w:tr>
      <w:tr w:rsidR="007D6E53" w:rsidRPr="00E41585" w14:paraId="428AF93C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19A9E538" w14:textId="77777777" w:rsidR="00E37AEF" w:rsidRPr="00E41585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41585">
              <w:rPr>
                <w:b/>
              </w:rPr>
              <w:t>2.3</w:t>
            </w:r>
          </w:p>
        </w:tc>
        <w:tc>
          <w:tcPr>
            <w:tcW w:w="6404" w:type="dxa"/>
            <w:noWrap/>
            <w:vAlign w:val="center"/>
          </w:tcPr>
          <w:p w14:paraId="25CB5842" w14:textId="78B61EC9" w:rsidR="00E37AEF" w:rsidRPr="00E41585" w:rsidRDefault="008E4880" w:rsidP="00703053">
            <w:pPr>
              <w:spacing w:line="320" w:lineRule="exact"/>
            </w:pPr>
            <w:r w:rsidRPr="00E41585">
              <w:rPr>
                <w:b/>
              </w:rPr>
              <w:t xml:space="preserve">Dividend </w:t>
            </w:r>
            <w:r w:rsidR="00703053" w:rsidRPr="00E41585">
              <w:rPr>
                <w:b/>
              </w:rPr>
              <w:t>pay</w:t>
            </w:r>
            <w:r w:rsidR="00703053">
              <w:rPr>
                <w:b/>
              </w:rPr>
              <w:t>ment</w:t>
            </w:r>
            <w:bookmarkStart w:id="0" w:name="_GoBack"/>
            <w:bookmarkEnd w:id="0"/>
            <w:r w:rsidR="00703053" w:rsidRPr="00E41585">
              <w:rPr>
                <w:b/>
              </w:rPr>
              <w:t xml:space="preserve"> amount and rate </w:t>
            </w:r>
            <w:r w:rsidRPr="00E41585">
              <w:rPr>
                <w:b/>
              </w:rPr>
              <w:t>of 12%:</w:t>
            </w:r>
            <w:r w:rsidRPr="00E41585">
              <w:br/>
            </w:r>
            <w:r w:rsidRPr="00E41585">
              <w:rPr>
                <w:i/>
              </w:rPr>
              <w:t>Charter capital eligible for dividends (Number of outstanding shares): VND 12,705,922,350,000 (= VND 12,938,780,810,000 (Charter Capital) - VND 232,858,460,000 (Treasury Shares)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9753" w14:textId="77777777" w:rsidR="00E37AEF" w:rsidRPr="00E41585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41585">
              <w:rPr>
                <w:b/>
              </w:rPr>
              <w:t>1,524,710,682,000</w:t>
            </w:r>
          </w:p>
        </w:tc>
      </w:tr>
      <w:tr w:rsidR="00C86C38" w:rsidRPr="00E41585" w14:paraId="3FA46492" w14:textId="77777777" w:rsidTr="00C86C38">
        <w:trPr>
          <w:trHeight w:val="340"/>
        </w:trPr>
        <w:tc>
          <w:tcPr>
            <w:tcW w:w="764" w:type="dxa"/>
            <w:noWrap/>
            <w:vAlign w:val="center"/>
          </w:tcPr>
          <w:p w14:paraId="68884178" w14:textId="77777777" w:rsidR="00E37AEF" w:rsidRPr="00E41585" w:rsidRDefault="008E4880" w:rsidP="009067DA">
            <w:pPr>
              <w:spacing w:line="320" w:lineRule="exact"/>
              <w:jc w:val="center"/>
              <w:rPr>
                <w:b/>
                <w:bCs/>
              </w:rPr>
            </w:pPr>
            <w:r w:rsidRPr="00E41585">
              <w:rPr>
                <w:b/>
              </w:rPr>
              <w:t>3</w:t>
            </w:r>
          </w:p>
        </w:tc>
        <w:tc>
          <w:tcPr>
            <w:tcW w:w="6404" w:type="dxa"/>
            <w:noWrap/>
            <w:vAlign w:val="center"/>
          </w:tcPr>
          <w:p w14:paraId="4E448E28" w14:textId="77777777" w:rsidR="00E37AEF" w:rsidRPr="00E41585" w:rsidRDefault="008E4880" w:rsidP="009067DA">
            <w:pPr>
              <w:spacing w:line="320" w:lineRule="exact"/>
              <w:rPr>
                <w:b/>
                <w:bCs/>
              </w:rPr>
            </w:pPr>
            <w:r w:rsidRPr="00E41585">
              <w:rPr>
                <w:b/>
              </w:rPr>
              <w:t>Remaining profit after tax: [(1)-(2)]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6E25" w14:textId="77777777" w:rsidR="00E37AEF" w:rsidRPr="00E41585" w:rsidRDefault="008E4880" w:rsidP="009067DA">
            <w:pPr>
              <w:spacing w:line="320" w:lineRule="exact"/>
              <w:jc w:val="right"/>
              <w:rPr>
                <w:b/>
                <w:bCs/>
              </w:rPr>
            </w:pPr>
            <w:r w:rsidRPr="00E41585">
              <w:rPr>
                <w:b/>
              </w:rPr>
              <w:t>0</w:t>
            </w:r>
          </w:p>
        </w:tc>
      </w:tr>
    </w:tbl>
    <w:p w14:paraId="20B31ACB" w14:textId="77777777" w:rsidR="004C13BF" w:rsidRPr="00E41585" w:rsidRDefault="009E4E8E" w:rsidP="00025181">
      <w:pPr>
        <w:widowControl w:val="0"/>
        <w:spacing w:after="60" w:line="271" w:lineRule="auto"/>
        <w:ind w:right="-28" w:firstLine="720"/>
        <w:jc w:val="both"/>
        <w:rPr>
          <w:color w:val="000000" w:themeColor="text1"/>
        </w:rPr>
      </w:pPr>
      <w:r w:rsidRPr="00E41585">
        <w:t>It is respectfully submitted to the 2026 Annual General Meeting of Shareholders for consideration and approval.</w:t>
      </w:r>
    </w:p>
    <w:p w14:paraId="1217AADA" w14:textId="12867D17" w:rsidR="004C13BF" w:rsidRPr="00E41585" w:rsidRDefault="004C13BF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  <w:r w:rsidRPr="00E41585">
        <w:rPr>
          <w:b/>
          <w:i/>
          <w:color w:val="000000" w:themeColor="text1"/>
          <w:sz w:val="28"/>
        </w:rPr>
        <w:t xml:space="preserve">  </w:t>
      </w:r>
      <w:r w:rsidRPr="00E41585">
        <w:rPr>
          <w:b/>
          <w:i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 xml:space="preserve">                                </w:t>
      </w:r>
      <w:r w:rsidR="00E41585">
        <w:rPr>
          <w:b/>
          <w:color w:val="000000" w:themeColor="text1"/>
          <w:sz w:val="28"/>
        </w:rPr>
        <w:t xml:space="preserve">           </w:t>
      </w:r>
      <w:r w:rsidRPr="00E41585">
        <w:rPr>
          <w:b/>
          <w:color w:val="000000" w:themeColor="text1"/>
          <w:sz w:val="28"/>
        </w:rPr>
        <w:t xml:space="preserve"> FOR AND ON BEHALF OF THE BOARD</w:t>
      </w:r>
    </w:p>
    <w:p w14:paraId="31021D27" w14:textId="77777777" w:rsidR="00BE7027" w:rsidRPr="00E41585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  <w:t>THE CHAIRMAN</w:t>
      </w:r>
    </w:p>
    <w:p w14:paraId="39251E3C" w14:textId="77777777" w:rsidR="00BE7027" w:rsidRPr="00E41585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</w:p>
    <w:p w14:paraId="6005BF0F" w14:textId="77777777" w:rsidR="00BE7027" w:rsidRPr="00E41585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</w:p>
    <w:p w14:paraId="577F856E" w14:textId="77777777" w:rsidR="00BE7027" w:rsidRPr="00E41585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</w:p>
    <w:p w14:paraId="522EA4C7" w14:textId="77777777" w:rsidR="00BE7027" w:rsidRPr="00E41585" w:rsidRDefault="00BE7027" w:rsidP="00BE7027">
      <w:pPr>
        <w:widowControl w:val="0"/>
        <w:spacing w:line="271" w:lineRule="auto"/>
        <w:ind w:right="-28"/>
        <w:jc w:val="both"/>
        <w:rPr>
          <w:b/>
          <w:bCs/>
          <w:color w:val="000000" w:themeColor="text1"/>
          <w:sz w:val="28"/>
          <w:szCs w:val="28"/>
        </w:rPr>
      </w:pP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</w:r>
      <w:r w:rsidRPr="00E41585">
        <w:rPr>
          <w:b/>
          <w:color w:val="000000" w:themeColor="text1"/>
          <w:sz w:val="28"/>
        </w:rPr>
        <w:tab/>
        <w:t xml:space="preserve">      Pham Van Thanh</w:t>
      </w:r>
    </w:p>
    <w:sectPr w:rsidR="00BE7027" w:rsidRPr="00E41585" w:rsidSect="00265345">
      <w:headerReference w:type="default" r:id="rId12"/>
      <w:footerReference w:type="even" r:id="rId13"/>
      <w:footerReference w:type="first" r:id="rId14"/>
      <w:pgSz w:w="11906" w:h="16838" w:code="9"/>
      <w:pgMar w:top="567" w:right="1140" w:bottom="28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F97B" w14:textId="77777777" w:rsidR="00AF2FAB" w:rsidRDefault="00AF2FAB">
      <w:r>
        <w:separator/>
      </w:r>
    </w:p>
  </w:endnote>
  <w:endnote w:type="continuationSeparator" w:id="0">
    <w:p w14:paraId="249A1856" w14:textId="77777777" w:rsidR="00AF2FAB" w:rsidRDefault="00AF2FAB">
      <w:r>
        <w:continuationSeparator/>
      </w:r>
    </w:p>
  </w:endnote>
  <w:endnote w:type="continuationNotice" w:id="1">
    <w:p w14:paraId="2AC57F7D" w14:textId="77777777" w:rsidR="00AF2FAB" w:rsidRDefault="00AF2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86941" w14:textId="77777777" w:rsidR="0015519B" w:rsidRDefault="0015519B" w:rsidP="001551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ABF4D" w14:textId="77777777" w:rsidR="0015519B" w:rsidRDefault="0015519B" w:rsidP="001551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3DFCC" w14:textId="77777777" w:rsidR="0015519B" w:rsidRDefault="0015519B" w:rsidP="001551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2E974" w14:textId="77777777" w:rsidR="00AF2FAB" w:rsidRDefault="00AF2FAB">
      <w:r>
        <w:separator/>
      </w:r>
    </w:p>
  </w:footnote>
  <w:footnote w:type="continuationSeparator" w:id="0">
    <w:p w14:paraId="4065EC03" w14:textId="77777777" w:rsidR="00AF2FAB" w:rsidRDefault="00AF2FAB">
      <w:r>
        <w:continuationSeparator/>
      </w:r>
    </w:p>
  </w:footnote>
  <w:footnote w:type="continuationNotice" w:id="1">
    <w:p w14:paraId="4C83B924" w14:textId="77777777" w:rsidR="00AF2FAB" w:rsidRDefault="00AF2F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43BFC" w14:textId="77777777" w:rsidR="0015519B" w:rsidRDefault="00155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BF"/>
    <w:rsid w:val="000075DD"/>
    <w:rsid w:val="000131AF"/>
    <w:rsid w:val="00013D85"/>
    <w:rsid w:val="000236B6"/>
    <w:rsid w:val="00025181"/>
    <w:rsid w:val="00037EF0"/>
    <w:rsid w:val="000408E8"/>
    <w:rsid w:val="000434A0"/>
    <w:rsid w:val="0004504D"/>
    <w:rsid w:val="00047B4E"/>
    <w:rsid w:val="000545E7"/>
    <w:rsid w:val="000564C7"/>
    <w:rsid w:val="000678E1"/>
    <w:rsid w:val="000A2D81"/>
    <w:rsid w:val="000E397B"/>
    <w:rsid w:val="000F61B0"/>
    <w:rsid w:val="0010706E"/>
    <w:rsid w:val="00147121"/>
    <w:rsid w:val="00150443"/>
    <w:rsid w:val="001506C6"/>
    <w:rsid w:val="0015519B"/>
    <w:rsid w:val="001807B4"/>
    <w:rsid w:val="00181463"/>
    <w:rsid w:val="00196147"/>
    <w:rsid w:val="001A53A0"/>
    <w:rsid w:val="001C7E6F"/>
    <w:rsid w:val="001D2174"/>
    <w:rsid w:val="001E374A"/>
    <w:rsid w:val="0021311A"/>
    <w:rsid w:val="00224D03"/>
    <w:rsid w:val="002576D9"/>
    <w:rsid w:val="00265345"/>
    <w:rsid w:val="00274D47"/>
    <w:rsid w:val="002777A0"/>
    <w:rsid w:val="00282ADC"/>
    <w:rsid w:val="002C11A5"/>
    <w:rsid w:val="002D5A88"/>
    <w:rsid w:val="00330650"/>
    <w:rsid w:val="0034666B"/>
    <w:rsid w:val="0035056B"/>
    <w:rsid w:val="00387274"/>
    <w:rsid w:val="00390611"/>
    <w:rsid w:val="003A1A91"/>
    <w:rsid w:val="003D05D7"/>
    <w:rsid w:val="003D770E"/>
    <w:rsid w:val="003E0ACA"/>
    <w:rsid w:val="003E17F1"/>
    <w:rsid w:val="0042337E"/>
    <w:rsid w:val="00431797"/>
    <w:rsid w:val="00475D14"/>
    <w:rsid w:val="0048075E"/>
    <w:rsid w:val="004B38EB"/>
    <w:rsid w:val="004B43BF"/>
    <w:rsid w:val="004C13BF"/>
    <w:rsid w:val="004C7770"/>
    <w:rsid w:val="004D2764"/>
    <w:rsid w:val="004E1859"/>
    <w:rsid w:val="00503FA3"/>
    <w:rsid w:val="00516692"/>
    <w:rsid w:val="005169E0"/>
    <w:rsid w:val="00517CCB"/>
    <w:rsid w:val="00565BBE"/>
    <w:rsid w:val="00593D7C"/>
    <w:rsid w:val="005B75A7"/>
    <w:rsid w:val="005C5A89"/>
    <w:rsid w:val="005E6C4E"/>
    <w:rsid w:val="00624EC3"/>
    <w:rsid w:val="00656569"/>
    <w:rsid w:val="00665CE2"/>
    <w:rsid w:val="00672BEB"/>
    <w:rsid w:val="006F1C2A"/>
    <w:rsid w:val="006F56B5"/>
    <w:rsid w:val="00703053"/>
    <w:rsid w:val="00743E51"/>
    <w:rsid w:val="00753E8A"/>
    <w:rsid w:val="007606FE"/>
    <w:rsid w:val="007A0987"/>
    <w:rsid w:val="007A25A1"/>
    <w:rsid w:val="007A5DDA"/>
    <w:rsid w:val="007C37E7"/>
    <w:rsid w:val="007D6E53"/>
    <w:rsid w:val="007F7206"/>
    <w:rsid w:val="0080020B"/>
    <w:rsid w:val="00836B8F"/>
    <w:rsid w:val="00866048"/>
    <w:rsid w:val="00881960"/>
    <w:rsid w:val="008B26A5"/>
    <w:rsid w:val="008B3571"/>
    <w:rsid w:val="008E4880"/>
    <w:rsid w:val="008F0962"/>
    <w:rsid w:val="00901AFD"/>
    <w:rsid w:val="009067DA"/>
    <w:rsid w:val="009926D4"/>
    <w:rsid w:val="00994B2C"/>
    <w:rsid w:val="009B496D"/>
    <w:rsid w:val="009B6A0A"/>
    <w:rsid w:val="009E0C43"/>
    <w:rsid w:val="009E4E8E"/>
    <w:rsid w:val="009F31FB"/>
    <w:rsid w:val="00A02950"/>
    <w:rsid w:val="00A15B28"/>
    <w:rsid w:val="00A335EE"/>
    <w:rsid w:val="00A56637"/>
    <w:rsid w:val="00A77458"/>
    <w:rsid w:val="00A77DB2"/>
    <w:rsid w:val="00A8015A"/>
    <w:rsid w:val="00AA7F67"/>
    <w:rsid w:val="00AE2BC2"/>
    <w:rsid w:val="00AF2FAB"/>
    <w:rsid w:val="00B14F43"/>
    <w:rsid w:val="00B158E4"/>
    <w:rsid w:val="00B226CA"/>
    <w:rsid w:val="00B262B4"/>
    <w:rsid w:val="00B64CEF"/>
    <w:rsid w:val="00BE2532"/>
    <w:rsid w:val="00BE7027"/>
    <w:rsid w:val="00C463CB"/>
    <w:rsid w:val="00C54D8F"/>
    <w:rsid w:val="00C64416"/>
    <w:rsid w:val="00C86C38"/>
    <w:rsid w:val="00CD0AED"/>
    <w:rsid w:val="00CD0F92"/>
    <w:rsid w:val="00D015B0"/>
    <w:rsid w:val="00D46E74"/>
    <w:rsid w:val="00D51B2F"/>
    <w:rsid w:val="00D6131C"/>
    <w:rsid w:val="00D61700"/>
    <w:rsid w:val="00D6273D"/>
    <w:rsid w:val="00D92E27"/>
    <w:rsid w:val="00D93D00"/>
    <w:rsid w:val="00DA3967"/>
    <w:rsid w:val="00DA7F69"/>
    <w:rsid w:val="00DB6094"/>
    <w:rsid w:val="00DD69C4"/>
    <w:rsid w:val="00E11961"/>
    <w:rsid w:val="00E328FC"/>
    <w:rsid w:val="00E35195"/>
    <w:rsid w:val="00E37AEF"/>
    <w:rsid w:val="00E41585"/>
    <w:rsid w:val="00E60F95"/>
    <w:rsid w:val="00E77889"/>
    <w:rsid w:val="00E8553A"/>
    <w:rsid w:val="00E90A96"/>
    <w:rsid w:val="00EF10E8"/>
    <w:rsid w:val="00F27952"/>
    <w:rsid w:val="00F318AE"/>
    <w:rsid w:val="00F52442"/>
    <w:rsid w:val="00F66859"/>
    <w:rsid w:val="00F7541E"/>
    <w:rsid w:val="00F8686A"/>
    <w:rsid w:val="00FA0212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228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13B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13BF"/>
    <w:rPr>
      <w:rFonts w:eastAsia="Times New Roman" w:cs="Times New Roman"/>
      <w:sz w:val="24"/>
      <w:szCs w:val="24"/>
      <w:lang w:val="en-US" w:eastAsia="x-none"/>
    </w:rPr>
  </w:style>
  <w:style w:type="character" w:styleId="PageNumber">
    <w:name w:val="page number"/>
    <w:rsid w:val="004C13BF"/>
  </w:style>
  <w:style w:type="paragraph" w:styleId="BalloonText">
    <w:name w:val="Balloon Text"/>
    <w:basedOn w:val="Normal"/>
    <w:link w:val="BalloonTextChar"/>
    <w:uiPriority w:val="99"/>
    <w:semiHidden/>
    <w:unhideWhenUsed/>
    <w:rsid w:val="00B22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CA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1463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13B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13BF"/>
    <w:rPr>
      <w:rFonts w:eastAsia="Times New Roman" w:cs="Times New Roman"/>
      <w:sz w:val="24"/>
      <w:szCs w:val="24"/>
      <w:lang w:val="en-US" w:eastAsia="x-none"/>
    </w:rPr>
  </w:style>
  <w:style w:type="character" w:styleId="PageNumber">
    <w:name w:val="page number"/>
    <w:rsid w:val="004C13BF"/>
  </w:style>
  <w:style w:type="paragraph" w:styleId="BalloonText">
    <w:name w:val="Balloon Text"/>
    <w:basedOn w:val="Normal"/>
    <w:link w:val="BalloonTextChar"/>
    <w:uiPriority w:val="99"/>
    <w:semiHidden/>
    <w:unhideWhenUsed/>
    <w:rsid w:val="00B22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CA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1463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5e789-6903-43e1-b6ca-356861f44381" xsi:nil="true"/>
    <lcf76f155ced4ddcb4097134ff3c332f xmlns="88c39d67-c94a-4c70-b203-8c1f83a3d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7C894CEB2784C838A3D5E358CBF2D" ma:contentTypeVersion="19" ma:contentTypeDescription="Create a new document." ma:contentTypeScope="" ma:versionID="e63ed1fe9f7333b44e0320fc12291abc">
  <xsd:schema xmlns:xsd="http://www.w3.org/2001/XMLSchema" xmlns:xs="http://www.w3.org/2001/XMLSchema" xmlns:p="http://schemas.microsoft.com/office/2006/metadata/properties" xmlns:ns2="88c39d67-c94a-4c70-b203-8c1f83a3d9d7" xmlns:ns3="2ca5e789-6903-43e1-b6ca-356861f44381" targetNamespace="http://schemas.microsoft.com/office/2006/metadata/properties" ma:root="true" ma:fieldsID="272eb6706c254fb961f6c0716c15dcde" ns2:_="" ns3:_="">
    <xsd:import namespace="88c39d67-c94a-4c70-b203-8c1f83a3d9d7"/>
    <xsd:import namespace="2ca5e789-6903-43e1-b6ca-356861f44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9d67-c94a-4c70-b203-8c1f83a3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c51ce-104e-4360-8733-a2e660b45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e789-6903-43e1-b6ca-356861f44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d77dac-6e62-44e1-8ea9-81400205517e}" ma:internalName="TaxCatchAll" ma:showField="CatchAllData" ma:web="2ca5e789-6903-43e1-b6ca-356861f44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9E65-393D-4724-A207-7791C59CDCEA}">
  <ds:schemaRefs>
    <ds:schemaRef ds:uri="http://schemas.microsoft.com/office/2006/metadata/properties"/>
    <ds:schemaRef ds:uri="http://schemas.microsoft.com/office/infopath/2007/PartnerControls"/>
    <ds:schemaRef ds:uri="2ca5e789-6903-43e1-b6ca-356861f44381"/>
    <ds:schemaRef ds:uri="88c39d67-c94a-4c70-b203-8c1f83a3d9d7"/>
  </ds:schemaRefs>
</ds:datastoreItem>
</file>

<file path=customXml/itemProps2.xml><?xml version="1.0" encoding="utf-8"?>
<ds:datastoreItem xmlns:ds="http://schemas.openxmlformats.org/officeDocument/2006/customXml" ds:itemID="{B2015B1D-BCD1-4A9A-A0A2-B1E2CC1D8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56B87-A1DE-47C3-80AA-76558AB0E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9d67-c94a-4c70-b203-8c1f83a3d9d7"/>
    <ds:schemaRef ds:uri="2ca5e789-6903-43e1-b6ca-356861f44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92E9C-84C6-4F48-9E37-05944501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ngocnv@Petrolimex.com.vn</dc:creator>
  <cp:keywords/>
  <dc:description/>
  <cp:lastModifiedBy>Thuy Hang</cp:lastModifiedBy>
  <cp:revision>17</cp:revision>
  <cp:lastPrinted>2026-04-01T03:02:00Z</cp:lastPrinted>
  <dcterms:created xsi:type="dcterms:W3CDTF">2026-04-01T04:24:00Z</dcterms:created>
  <dcterms:modified xsi:type="dcterms:W3CDTF">2026-04-04T01:16:00Z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0x01010022F7C894CEB2784C838A3D5E358CBF2D</vt:lpwstr>
  </property>
  <property fmtid="{D5CDD505-2E9C-101B-9397-08002B2CF9AE}" pid="3" name="MediaServiceImageTags">
    <vt:lpwstr/>
  </property>
  <property fmtid="{D5CDD505-2E9C-101B-9397-08002B2CF9AE}" pid="4" name="docLang">
    <vt:lpwstr>vi</vt:lpwstr>
  </property>
</Properties>
</file>